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33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1443"/>
        <w:gridCol w:w="1710"/>
        <w:gridCol w:w="1710"/>
        <w:gridCol w:w="5760"/>
        <w:gridCol w:w="1440"/>
        <w:gridCol w:w="2970"/>
      </w:tblGrid>
      <w:tr w:rsidR="007F04B4" w:rsidRPr="007167C0" w:rsidTr="00E45862">
        <w:trPr>
          <w:tblHeader/>
        </w:trPr>
        <w:tc>
          <w:tcPr>
            <w:tcW w:w="1443" w:type="dxa"/>
          </w:tcPr>
          <w:p w:rsidR="004538E3" w:rsidRPr="00E946BC" w:rsidRDefault="00DC71FF" w:rsidP="00033550">
            <w:pPr>
              <w:spacing w:before="24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46BC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4538E3" w:rsidRPr="00E946BC">
              <w:rPr>
                <w:rFonts w:ascii="Courier New" w:hAnsi="Courier New" w:cs="Courier New"/>
                <w:b/>
                <w:sz w:val="20"/>
                <w:szCs w:val="20"/>
              </w:rPr>
              <w:t>Notice Date</w:t>
            </w:r>
          </w:p>
        </w:tc>
        <w:tc>
          <w:tcPr>
            <w:tcW w:w="1710" w:type="dxa"/>
          </w:tcPr>
          <w:p w:rsidR="00033550" w:rsidRDefault="00033550" w:rsidP="00D45018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4538E3" w:rsidRPr="00E946BC" w:rsidRDefault="004538E3" w:rsidP="00D45018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46BC">
              <w:rPr>
                <w:rFonts w:ascii="Courier New" w:hAnsi="Courier New" w:cs="Courier New"/>
                <w:b/>
                <w:sz w:val="20"/>
                <w:szCs w:val="20"/>
              </w:rPr>
              <w:t>Case Number</w:t>
            </w:r>
          </w:p>
        </w:tc>
        <w:tc>
          <w:tcPr>
            <w:tcW w:w="1710" w:type="dxa"/>
          </w:tcPr>
          <w:p w:rsidR="00033550" w:rsidRDefault="00033550" w:rsidP="00D45018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4538E3" w:rsidRPr="00E946BC" w:rsidRDefault="004538E3" w:rsidP="00D45018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46BC">
              <w:rPr>
                <w:rFonts w:ascii="Courier New" w:hAnsi="Courier New" w:cs="Courier New"/>
                <w:b/>
                <w:sz w:val="20"/>
                <w:szCs w:val="20"/>
              </w:rPr>
              <w:t>Court</w:t>
            </w:r>
          </w:p>
        </w:tc>
        <w:tc>
          <w:tcPr>
            <w:tcW w:w="5760" w:type="dxa"/>
          </w:tcPr>
          <w:p w:rsidR="00033550" w:rsidRDefault="00033550" w:rsidP="00033550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4538E3" w:rsidRPr="00E946BC" w:rsidRDefault="004538E3" w:rsidP="00033550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46BC">
              <w:rPr>
                <w:rFonts w:ascii="Courier New" w:hAnsi="Courier New" w:cs="Courier New"/>
                <w:b/>
                <w:sz w:val="20"/>
                <w:szCs w:val="20"/>
              </w:rPr>
              <w:t>Case Name                                                             Summary of Issue</w:t>
            </w:r>
          </w:p>
        </w:tc>
        <w:tc>
          <w:tcPr>
            <w:tcW w:w="1440" w:type="dxa"/>
          </w:tcPr>
          <w:p w:rsidR="00033550" w:rsidRDefault="00033550" w:rsidP="00861B8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4538E3" w:rsidRPr="00E946BC" w:rsidRDefault="00861B8B" w:rsidP="00861B8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46BC">
              <w:rPr>
                <w:rFonts w:ascii="Courier New" w:hAnsi="Courier New" w:cs="Courier New"/>
                <w:b/>
                <w:sz w:val="20"/>
                <w:szCs w:val="20"/>
              </w:rPr>
              <w:t>Fairness Hearing Date</w:t>
            </w:r>
          </w:p>
        </w:tc>
        <w:tc>
          <w:tcPr>
            <w:tcW w:w="2970" w:type="dxa"/>
          </w:tcPr>
          <w:p w:rsidR="004538E3" w:rsidRDefault="004538E3" w:rsidP="00861B8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33550" w:rsidRPr="00E946BC" w:rsidRDefault="00033550" w:rsidP="00861B8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For more </w:t>
            </w:r>
            <w:r w:rsidR="005153A1">
              <w:rPr>
                <w:rFonts w:ascii="Courier New" w:hAnsi="Courier New" w:cs="Courier New"/>
                <w:b/>
                <w:sz w:val="20"/>
                <w:szCs w:val="20"/>
              </w:rPr>
              <w:t>information</w:t>
            </w:r>
          </w:p>
        </w:tc>
      </w:tr>
      <w:tr w:rsidR="00A24466" w:rsidRPr="007167C0" w:rsidTr="00E45862">
        <w:tc>
          <w:tcPr>
            <w:tcW w:w="1443" w:type="dxa"/>
          </w:tcPr>
          <w:p w:rsidR="00A24466" w:rsidRDefault="00A2446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A523B8" w:rsidRDefault="009E4DE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9-1-2017</w:t>
            </w:r>
          </w:p>
        </w:tc>
        <w:tc>
          <w:tcPr>
            <w:tcW w:w="1710" w:type="dxa"/>
          </w:tcPr>
          <w:p w:rsidR="00A24466" w:rsidRDefault="00A2446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E4DE6" w:rsidRDefault="009E4DE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15-CV-01973</w:t>
            </w:r>
          </w:p>
        </w:tc>
        <w:tc>
          <w:tcPr>
            <w:tcW w:w="1710" w:type="dxa"/>
          </w:tcPr>
          <w:p w:rsidR="00A24466" w:rsidRDefault="00A2446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E4DE6" w:rsidRDefault="009E4DE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(C.D. Cal.)</w:t>
            </w:r>
          </w:p>
        </w:tc>
        <w:tc>
          <w:tcPr>
            <w:tcW w:w="5760" w:type="dxa"/>
          </w:tcPr>
          <w:p w:rsidR="00A24466" w:rsidRDefault="00A24466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A24466" w:rsidRDefault="009E4DE6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Sheri Dodge, Neil Dodge, Ram Agrawal and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Sarita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Agrawal v. </w:t>
            </w:r>
            <w:r w:rsidR="00331981">
              <w:rPr>
                <w:rFonts w:ascii="Courier New" w:hAnsi="Courier New" w:cs="Courier New"/>
                <w:b/>
                <w:sz w:val="20"/>
                <w:szCs w:val="20"/>
              </w:rPr>
              <w:t>PHH Corp., et al.</w:t>
            </w:r>
          </w:p>
          <w:p w:rsidR="009E4DE6" w:rsidRDefault="009E4DE6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Re Defendants: Realogy Holdings Corp., Realogy Group LLC, Realogy Company, Equity Title Company, TRG Services Escrow, Inc., NRT LLC, Realogy Services Group LLC, and</w:t>
            </w:r>
            <w:r w:rsidR="009F289B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Realogy Services Venture Partner LLC</w:t>
            </w:r>
          </w:p>
          <w:p w:rsidR="00E1338D" w:rsidRDefault="00AC6030" w:rsidP="00AC6030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AC6030">
              <w:rPr>
                <w:rFonts w:ascii="Courier New" w:hAnsi="Courier New" w:cs="Courier New"/>
                <w:sz w:val="20"/>
                <w:szCs w:val="20"/>
              </w:rPr>
              <w:t>The Plaintiffs claimed that borrowers who closed on a mortgage loan with the PHH Defendants or the PHH Home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C6030">
              <w:rPr>
                <w:rFonts w:ascii="Courier New" w:hAnsi="Courier New" w:cs="Courier New"/>
                <w:sz w:val="20"/>
                <w:szCs w:val="20"/>
              </w:rPr>
              <w:t>Loans Defendants during the Class Period wer</w:t>
            </w:r>
            <w:r>
              <w:rPr>
                <w:rFonts w:ascii="Courier New" w:hAnsi="Courier New" w:cs="Courier New"/>
                <w:sz w:val="20"/>
                <w:szCs w:val="20"/>
              </w:rPr>
              <w:t>e improperly referred for title, escrow</w:t>
            </w:r>
            <w:r w:rsidRPr="00AC6030">
              <w:rPr>
                <w:rFonts w:ascii="Courier New" w:hAnsi="Courier New" w:cs="Courier New"/>
                <w:sz w:val="20"/>
                <w:szCs w:val="20"/>
              </w:rPr>
              <w:t>, and closing-related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C6030">
              <w:rPr>
                <w:rFonts w:ascii="Courier New" w:hAnsi="Courier New" w:cs="Courier New"/>
                <w:sz w:val="20"/>
                <w:szCs w:val="20"/>
              </w:rPr>
              <w:t>services to Title Resource Group LLC or its affiliates (who are among the Realogy Defendants) in exchange 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C6030">
              <w:rPr>
                <w:rFonts w:ascii="Courier New" w:hAnsi="Courier New" w:cs="Courier New"/>
                <w:sz w:val="20"/>
                <w:szCs w:val="20"/>
              </w:rPr>
              <w:t>certain things of value and that this practice violated the Real Estate Settlement Procedures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C6030">
              <w:rPr>
                <w:rFonts w:ascii="Courier New" w:hAnsi="Courier New" w:cs="Courier New"/>
                <w:sz w:val="20"/>
                <w:szCs w:val="20"/>
              </w:rPr>
              <w:t xml:space="preserve">Act (“RESPA”), 12 U.S.C. </w:t>
            </w:r>
            <w:r w:rsidRPr="00AC6030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AC6030">
              <w:rPr>
                <w:rFonts w:ascii="Courier New" w:hAnsi="Courier New" w:cs="Courier New"/>
                <w:sz w:val="20"/>
                <w:szCs w:val="20"/>
              </w:rPr>
              <w:t xml:space="preserve"> 2607, et seq.</w:t>
            </w:r>
          </w:p>
          <w:p w:rsidR="00AC6030" w:rsidRPr="00077B53" w:rsidRDefault="00AC6030" w:rsidP="00AC6030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4466" w:rsidRDefault="00A2446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A24466" w:rsidRDefault="00A2446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Not set yet</w:t>
            </w:r>
          </w:p>
          <w:p w:rsidR="00C945FA" w:rsidRDefault="00C945FA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A24466" w:rsidRDefault="00A24466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A24466" w:rsidRDefault="00A24466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inforamtion write</w:t>
            </w:r>
            <w:r w:rsidR="00CB40C6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, call, fax</w:t>
            </w: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or e-mail:</w:t>
            </w:r>
          </w:p>
          <w:p w:rsidR="00A24466" w:rsidRDefault="00A24466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8F4B78" w:rsidRPr="00A83807" w:rsidRDefault="008F4B78" w:rsidP="008F4B7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A8380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 xml:space="preserve">DANIEL S. ROBINSON </w:t>
            </w:r>
          </w:p>
          <w:p w:rsidR="008F4B78" w:rsidRPr="00A83807" w:rsidRDefault="008F4B78" w:rsidP="008F4B7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A8380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 xml:space="preserve">WESLEY K. POLISCHUK </w:t>
            </w:r>
          </w:p>
          <w:p w:rsidR="008F4B78" w:rsidRPr="00A83807" w:rsidRDefault="008F4B78" w:rsidP="008F4B7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A8380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ROBINSON CALCAGNIE, INC.</w:t>
            </w:r>
          </w:p>
          <w:p w:rsidR="008F4B78" w:rsidRPr="00A83807" w:rsidRDefault="008F4B78" w:rsidP="008F4B7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A8380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19 Corporate Plaza Drive</w:t>
            </w:r>
          </w:p>
          <w:p w:rsidR="008F4B78" w:rsidRPr="00A83807" w:rsidRDefault="008F4B78" w:rsidP="008F4B7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A8380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Newport Beach, CA 92660</w:t>
            </w:r>
          </w:p>
          <w:p w:rsidR="008F4B78" w:rsidRPr="00A83807" w:rsidRDefault="008F4B78" w:rsidP="008F4B7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8F4B78" w:rsidRPr="00A83807" w:rsidRDefault="008F4B78" w:rsidP="008F4B7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A8380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949 720-1288 (Ph.)</w:t>
            </w:r>
          </w:p>
          <w:p w:rsidR="008F4B78" w:rsidRPr="00A83807" w:rsidRDefault="008F4B78" w:rsidP="008F4B7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A24466" w:rsidRPr="00A83807" w:rsidRDefault="008F4B78" w:rsidP="008F4B78">
            <w:pPr>
              <w:pStyle w:val="PlainText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A8380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949 720-1292 (Fax)</w:t>
            </w:r>
          </w:p>
          <w:p w:rsidR="008F4B78" w:rsidRPr="00A83807" w:rsidRDefault="008F4B78" w:rsidP="008F4B78">
            <w:pPr>
              <w:pStyle w:val="PlainText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8F4B78" w:rsidRPr="00A83807" w:rsidRDefault="004758BC" w:rsidP="008F4B7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8" w:history="1">
              <w:r w:rsidR="008F4B78" w:rsidRPr="00A83807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drobinson@robinsonfirrn.com</w:t>
              </w:r>
            </w:hyperlink>
          </w:p>
          <w:p w:rsidR="008F4B78" w:rsidRPr="00A83807" w:rsidRDefault="008F4B78" w:rsidP="008F4B7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8F4B78" w:rsidRPr="00A83807" w:rsidRDefault="004758BC" w:rsidP="008F4B7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9" w:history="1">
              <w:r w:rsidR="008F4B78" w:rsidRPr="00A83807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wpolishuk@robinsonfirrn.com</w:t>
              </w:r>
            </w:hyperlink>
          </w:p>
          <w:p w:rsidR="008F4B78" w:rsidRDefault="008F4B78" w:rsidP="008F4B7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9E4DE6" w:rsidRPr="007167C0" w:rsidTr="00E45862">
        <w:tc>
          <w:tcPr>
            <w:tcW w:w="1443" w:type="dxa"/>
          </w:tcPr>
          <w:p w:rsidR="009E4DE6" w:rsidRDefault="009E4DE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E4DE6" w:rsidRDefault="00393F5F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9-1-2017</w:t>
            </w:r>
          </w:p>
          <w:p w:rsidR="009E4DE6" w:rsidRDefault="009E4DE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E4DE6" w:rsidRDefault="009E4DE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93F5F" w:rsidRDefault="00393F5F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14-CV-01606</w:t>
            </w:r>
          </w:p>
        </w:tc>
        <w:tc>
          <w:tcPr>
            <w:tcW w:w="1710" w:type="dxa"/>
          </w:tcPr>
          <w:p w:rsidR="009E4DE6" w:rsidRDefault="009E4DE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93F5F" w:rsidRDefault="00393F5F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(D.S.C.)</w:t>
            </w:r>
          </w:p>
        </w:tc>
        <w:tc>
          <w:tcPr>
            <w:tcW w:w="5760" w:type="dxa"/>
          </w:tcPr>
          <w:p w:rsidR="009E4DE6" w:rsidRDefault="009E4DE6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93F5F" w:rsidRDefault="00393F5F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Epstein v. World Acceptance Corporation, et al.</w:t>
            </w:r>
          </w:p>
          <w:p w:rsidR="00393F5F" w:rsidRDefault="00393F5F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 A. Alexander McLean, III, John L.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Calmes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, Jr., Kelly M.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Malson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and Mark C. Roland</w:t>
            </w:r>
          </w:p>
          <w:p w:rsidR="00393F5F" w:rsidRDefault="00137F3C" w:rsidP="00137F3C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 alleges that Defendants violated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§§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10(b) and 20(a) of the Securities Exchange Act of 1934 by issuing false and misleading statements or failing to disclose material adverse facts about the Company’s business, operations, and prospects, including</w:t>
            </w:r>
            <w:r w:rsidR="009A7D6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7F3C">
              <w:rPr>
                <w:rFonts w:ascii="Courier New" w:hAnsi="Courier New" w:cs="Courier New"/>
                <w:sz w:val="20"/>
                <w:szCs w:val="20"/>
              </w:rPr>
              <w:t>that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7F3C">
              <w:rPr>
                <w:rFonts w:ascii="Courier New" w:hAnsi="Courier New" w:cs="Courier New"/>
                <w:sz w:val="20"/>
                <w:szCs w:val="20"/>
              </w:rPr>
              <w:t xml:space="preserve">Company’s loan practices did not </w:t>
            </w:r>
            <w:r w:rsidR="009A7D66"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Pr="00137F3C">
              <w:rPr>
                <w:rFonts w:ascii="Courier New" w:hAnsi="Courier New" w:cs="Courier New"/>
                <w:sz w:val="20"/>
                <w:szCs w:val="20"/>
              </w:rPr>
              <w:t>omply with the Consumer Financial Protection Act and/or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7F3C">
              <w:rPr>
                <w:rFonts w:ascii="Courier New" w:hAnsi="Courier New" w:cs="Courier New"/>
                <w:sz w:val="20"/>
                <w:szCs w:val="20"/>
              </w:rPr>
              <w:t>Truth in Lending Act and that the Company lacked adequate internal and financial controls. Lead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7F3C">
              <w:rPr>
                <w:rFonts w:ascii="Courier New" w:hAnsi="Courier New" w:cs="Courier New"/>
                <w:sz w:val="20"/>
                <w:szCs w:val="20"/>
              </w:rPr>
              <w:t>Plaintiff further alleges that as a result of Defendants’ false and misleading statements and</w:t>
            </w:r>
            <w:r w:rsidR="009A7D6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7F3C">
              <w:rPr>
                <w:rFonts w:ascii="Courier New" w:hAnsi="Courier New" w:cs="Courier New"/>
                <w:sz w:val="20"/>
                <w:szCs w:val="20"/>
              </w:rPr>
              <w:t>omissions, World Acceptance’s stock traded at artificially inflated prices during the Class Period.</w:t>
            </w:r>
          </w:p>
          <w:p w:rsidR="00137F3C" w:rsidRPr="00393F5F" w:rsidRDefault="00137F3C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4DE6" w:rsidRDefault="009E4DE6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93F5F" w:rsidRDefault="004758B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21pt;margin-top:161.45pt;width:164.6pt;height:27.55pt;z-index:251660288" strokecolor="white [3212]" strokeweight="6pt">
                  <v:textbox style="mso-next-textbox:#_x0000_s1042">
                    <w:txbxContent>
                      <w:p w:rsidR="00534143" w:rsidRDefault="00534143" w:rsidP="00AA22FA">
                        <w:r>
                          <w:t>Prepared by Brenda Berkley</w:t>
                        </w:r>
                      </w:p>
                    </w:txbxContent>
                  </v:textbox>
                </v:shape>
              </w:pict>
            </w:r>
            <w:r w:rsidR="00393F5F">
              <w:rPr>
                <w:rFonts w:ascii="Courier New" w:hAnsi="Courier New" w:cs="Courier New"/>
                <w:b/>
                <w:sz w:val="20"/>
                <w:szCs w:val="20"/>
              </w:rPr>
              <w:t>12-18-2017</w:t>
            </w:r>
          </w:p>
        </w:tc>
        <w:tc>
          <w:tcPr>
            <w:tcW w:w="2970" w:type="dxa"/>
          </w:tcPr>
          <w:p w:rsidR="009E4DE6" w:rsidRDefault="009E4DE6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393F5F" w:rsidRDefault="00FD6C3E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FD6C3E" w:rsidRDefault="00FD6C3E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FD6C3E" w:rsidRDefault="00FD6C3E" w:rsidP="00FD6C3E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FD6C3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ROBBINS GELLER</w:t>
            </w:r>
          </w:p>
          <w:p w:rsidR="00FD6C3E" w:rsidRPr="00FD6C3E" w:rsidRDefault="00FD6C3E" w:rsidP="00FD6C3E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</w:t>
            </w:r>
            <w:r w:rsidRPr="00FD6C3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RUDMAN &amp; DOWD LLP</w:t>
            </w:r>
          </w:p>
          <w:p w:rsidR="00FD6C3E" w:rsidRPr="00FD6C3E" w:rsidRDefault="00FD6C3E" w:rsidP="00FD6C3E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FD6C3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ELLEN GUSIKOFF STEWART</w:t>
            </w:r>
          </w:p>
          <w:p w:rsidR="00FD6C3E" w:rsidRPr="00FD6C3E" w:rsidRDefault="00FD6C3E" w:rsidP="00FD6C3E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FD6C3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655 West Broadway</w:t>
            </w:r>
          </w:p>
          <w:p w:rsidR="00FD6C3E" w:rsidRPr="00FD6C3E" w:rsidRDefault="00FD6C3E" w:rsidP="00FD6C3E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FD6C3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Suite 1900</w:t>
            </w:r>
          </w:p>
          <w:p w:rsidR="00FD6C3E" w:rsidRDefault="00FD6C3E" w:rsidP="00FD6C3E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FD6C3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San Diego, CA 92101</w:t>
            </w:r>
          </w:p>
        </w:tc>
      </w:tr>
      <w:tr w:rsidR="00137F3C" w:rsidRPr="007167C0" w:rsidTr="00E45862">
        <w:tc>
          <w:tcPr>
            <w:tcW w:w="1443" w:type="dxa"/>
          </w:tcPr>
          <w:p w:rsidR="00137F3C" w:rsidRDefault="00137F3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7FC3" w:rsidRDefault="00957FC3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9-1-2017</w:t>
            </w:r>
          </w:p>
          <w:p w:rsidR="00FD6C3E" w:rsidRDefault="00FD6C3E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137F3C" w:rsidRDefault="00137F3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7FC3" w:rsidRDefault="00957FC3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16-CV-00435</w:t>
            </w:r>
          </w:p>
        </w:tc>
        <w:tc>
          <w:tcPr>
            <w:tcW w:w="1710" w:type="dxa"/>
          </w:tcPr>
          <w:p w:rsidR="00137F3C" w:rsidRDefault="00137F3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7FC3" w:rsidRDefault="00957FC3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(W.D. Mo.)</w:t>
            </w:r>
          </w:p>
        </w:tc>
        <w:tc>
          <w:tcPr>
            <w:tcW w:w="5760" w:type="dxa"/>
          </w:tcPr>
          <w:p w:rsidR="00137F3C" w:rsidRDefault="00137F3C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7FC3" w:rsidRDefault="00957FC3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Mamdooh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Husein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v.</w:t>
            </w:r>
            <w:r w:rsidR="00C51731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Bravo Brio Restaurant Group, Inc.</w:t>
            </w:r>
          </w:p>
          <w:p w:rsidR="00957FC3" w:rsidRPr="00602B57" w:rsidRDefault="00602B57" w:rsidP="00293D5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alleges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that Brio Restaurant Group, Inc. pay practices violated state law a</w:t>
            </w:r>
            <w:r w:rsidR="00293D5A">
              <w:rPr>
                <w:rFonts w:ascii="Courier New" w:hAnsi="Courier New" w:cs="Courier New"/>
                <w:sz w:val="20"/>
                <w:szCs w:val="20"/>
              </w:rPr>
              <w:t xml:space="preserve">nd the Fair Labor Standards Act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and various state wage and hour laws.</w:t>
            </w:r>
          </w:p>
        </w:tc>
        <w:tc>
          <w:tcPr>
            <w:tcW w:w="1440" w:type="dxa"/>
          </w:tcPr>
          <w:p w:rsidR="00137F3C" w:rsidRDefault="00137F3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7FC3" w:rsidRDefault="00957FC3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137F3C" w:rsidRDefault="00137F3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957FC3" w:rsidRDefault="00957FC3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</w:t>
            </w:r>
            <w:r w:rsidR="00602B57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</w:t>
            </w: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write</w:t>
            </w:r>
            <w:r w:rsidR="00293D5A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or</w:t>
            </w: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call:</w:t>
            </w:r>
          </w:p>
          <w:p w:rsidR="00957FC3" w:rsidRDefault="00957FC3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957FC3" w:rsidRPr="00957FC3" w:rsidRDefault="00957FC3" w:rsidP="00957FC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957FC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Eric L. Dirks</w:t>
            </w:r>
          </w:p>
          <w:p w:rsidR="00957FC3" w:rsidRPr="00FA3B7A" w:rsidRDefault="00957FC3" w:rsidP="00957FC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FA3B7A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 xml:space="preserve">Williams Dirks </w:t>
            </w:r>
            <w:proofErr w:type="spellStart"/>
            <w:r w:rsidRPr="00FA3B7A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Dameron</w:t>
            </w:r>
            <w:proofErr w:type="spellEnd"/>
            <w:r w:rsidRPr="00FA3B7A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 xml:space="preserve"> LLC</w:t>
            </w:r>
          </w:p>
          <w:p w:rsidR="00957FC3" w:rsidRPr="00FA3B7A" w:rsidRDefault="00957FC3" w:rsidP="00957FC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FA3B7A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1100 Main Street, Suite 2600</w:t>
            </w:r>
          </w:p>
          <w:p w:rsidR="00957FC3" w:rsidRPr="00FA3B7A" w:rsidRDefault="00957FC3" w:rsidP="00957FC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FA3B7A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Kansas City, MO 64105</w:t>
            </w:r>
          </w:p>
          <w:p w:rsidR="00FA3B7A" w:rsidRPr="00957FC3" w:rsidRDefault="00FA3B7A" w:rsidP="00957FC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:rsidR="00FA3B7A" w:rsidRDefault="00FA3B7A" w:rsidP="00293D5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9D78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816</w:t>
            </w:r>
            <w:r w:rsidR="00957FC3" w:rsidRPr="009D78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 xml:space="preserve"> 876-2600</w:t>
            </w:r>
            <w:r w:rsidRPr="009D78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 xml:space="preserve"> (Ph.)</w:t>
            </w:r>
          </w:p>
          <w:p w:rsidR="00293D5A" w:rsidRDefault="00293D5A" w:rsidP="00293D5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137F3C" w:rsidRPr="007167C0" w:rsidTr="00E45862">
        <w:tc>
          <w:tcPr>
            <w:tcW w:w="1443" w:type="dxa"/>
          </w:tcPr>
          <w:p w:rsidR="00137F3C" w:rsidRDefault="00137F3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9-1-2017</w:t>
            </w:r>
          </w:p>
        </w:tc>
        <w:tc>
          <w:tcPr>
            <w:tcW w:w="1710" w:type="dxa"/>
          </w:tcPr>
          <w:p w:rsidR="00137F3C" w:rsidRDefault="00137F3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14-CV-4107</w:t>
            </w:r>
          </w:p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14-CV-4658</w:t>
            </w:r>
          </w:p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14-CV-04936</w:t>
            </w:r>
          </w:p>
        </w:tc>
        <w:tc>
          <w:tcPr>
            <w:tcW w:w="1710" w:type="dxa"/>
          </w:tcPr>
          <w:p w:rsidR="00137F3C" w:rsidRDefault="00137F3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(E.D.N.Y</w:t>
            </w:r>
            <w:r w:rsidR="00C51731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)</w:t>
            </w:r>
          </w:p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 Pa.)</w:t>
            </w:r>
          </w:p>
          <w:p w:rsidR="00602B57" w:rsidRP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02B57">
              <w:rPr>
                <w:rFonts w:ascii="Courier New" w:hAnsi="Courier New" w:cs="Courier New"/>
                <w:b/>
                <w:sz w:val="16"/>
                <w:szCs w:val="16"/>
              </w:rPr>
              <w:t>(Sup. Ct. N.J.)</w:t>
            </w:r>
          </w:p>
        </w:tc>
        <w:tc>
          <w:tcPr>
            <w:tcW w:w="5760" w:type="dxa"/>
          </w:tcPr>
          <w:p w:rsidR="00137F3C" w:rsidRDefault="00137F3C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02B57" w:rsidRDefault="00602B57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McLaughlin v. IDT Energy, Inc.</w:t>
            </w:r>
          </w:p>
          <w:p w:rsidR="00602B57" w:rsidRDefault="00602B57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Ferrare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v. IDT Energy, Inc.</w:t>
            </w:r>
          </w:p>
          <w:p w:rsidR="00602B57" w:rsidRDefault="00602B57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Aks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v.IDT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Energy, Inc.</w:t>
            </w:r>
          </w:p>
          <w:p w:rsidR="00602B57" w:rsidRDefault="00602B57" w:rsidP="00DB5A8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602B57">
              <w:rPr>
                <w:rFonts w:ascii="Courier New" w:hAnsi="Courier New" w:cs="Courier New"/>
                <w:sz w:val="20"/>
                <w:szCs w:val="20"/>
              </w:rPr>
              <w:t>Plaintiffs allege that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company overcharged customers for gas and electricity, and also did not provide the full amount of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rebates customers were owed under IDT’s rebate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programs. The lawsuit alleges that IDT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breached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its contracts with customers and its duty of good faith and fair dealing, and also violated various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2B57">
              <w:rPr>
                <w:rFonts w:ascii="Courier New" w:hAnsi="Courier New" w:cs="Courier New"/>
                <w:sz w:val="20"/>
                <w:szCs w:val="20"/>
              </w:rPr>
              <w:t>consumer fraud laws.</w:t>
            </w:r>
          </w:p>
          <w:p w:rsidR="00293D5A" w:rsidRDefault="00293D5A" w:rsidP="00DB5A8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80C70" w:rsidRDefault="00180C70" w:rsidP="00DB5A8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80C70" w:rsidRDefault="00180C70" w:rsidP="00DB5A8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80C70" w:rsidRDefault="00180C70" w:rsidP="00DB5A8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80C70" w:rsidRDefault="00180C70" w:rsidP="00DB5A8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37F3C" w:rsidRDefault="00137F3C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137F3C" w:rsidRDefault="00137F3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602B57" w:rsidRDefault="00602B57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602B57" w:rsidRDefault="00602B57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602B57" w:rsidRPr="00602B57" w:rsidRDefault="00602B57" w:rsidP="00602B5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2B57">
              <w:rPr>
                <w:rFonts w:ascii="Courier New" w:hAnsi="Courier New" w:cs="Courier New"/>
                <w:b/>
                <w:sz w:val="20"/>
                <w:szCs w:val="20"/>
              </w:rPr>
              <w:t>Matthew R. Mendelsohn</w:t>
            </w:r>
          </w:p>
          <w:p w:rsidR="00602B57" w:rsidRDefault="00602B57" w:rsidP="00602B5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602B57">
              <w:rPr>
                <w:rFonts w:ascii="Courier New" w:hAnsi="Courier New" w:cs="Courier New"/>
                <w:b/>
                <w:sz w:val="20"/>
                <w:szCs w:val="20"/>
              </w:rPr>
              <w:t>Mazie</w:t>
            </w:r>
            <w:proofErr w:type="spellEnd"/>
            <w:r w:rsidRPr="00602B57">
              <w:rPr>
                <w:rFonts w:ascii="Courier New" w:hAnsi="Courier New" w:cs="Courier New"/>
                <w:b/>
                <w:sz w:val="20"/>
                <w:szCs w:val="20"/>
              </w:rPr>
              <w:t xml:space="preserve"> Slater Katz &amp;</w:t>
            </w:r>
          </w:p>
          <w:p w:rsidR="00602B57" w:rsidRPr="00602B57" w:rsidRDefault="00602B57" w:rsidP="00602B5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2B57">
              <w:rPr>
                <w:rFonts w:ascii="Courier New" w:hAnsi="Courier New" w:cs="Courier New"/>
                <w:b/>
                <w:sz w:val="20"/>
                <w:szCs w:val="20"/>
              </w:rPr>
              <w:t xml:space="preserve"> Freeman, LLC</w:t>
            </w:r>
          </w:p>
          <w:p w:rsidR="00602B57" w:rsidRPr="00602B57" w:rsidRDefault="00602B57" w:rsidP="00602B5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2B57">
              <w:rPr>
                <w:rFonts w:ascii="Courier New" w:hAnsi="Courier New" w:cs="Courier New"/>
                <w:b/>
                <w:sz w:val="20"/>
                <w:szCs w:val="20"/>
              </w:rPr>
              <w:t>103 Eisenhower Parkway</w:t>
            </w:r>
          </w:p>
          <w:p w:rsidR="00602B57" w:rsidRDefault="00602B57" w:rsidP="00602B57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602B57">
              <w:rPr>
                <w:rFonts w:ascii="Courier New" w:hAnsi="Courier New" w:cs="Courier New"/>
                <w:b/>
                <w:sz w:val="20"/>
                <w:szCs w:val="20"/>
              </w:rPr>
              <w:t>Roseland, NJ 07068</w:t>
            </w:r>
          </w:p>
        </w:tc>
      </w:tr>
      <w:tr w:rsidR="00602B57" w:rsidRPr="007167C0" w:rsidTr="00E45862">
        <w:tc>
          <w:tcPr>
            <w:tcW w:w="1443" w:type="dxa"/>
          </w:tcPr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02B57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9-1-2017</w:t>
            </w:r>
          </w:p>
        </w:tc>
        <w:tc>
          <w:tcPr>
            <w:tcW w:w="1710" w:type="dxa"/>
          </w:tcPr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14-CV-01680</w:t>
            </w:r>
          </w:p>
        </w:tc>
        <w:tc>
          <w:tcPr>
            <w:tcW w:w="1710" w:type="dxa"/>
          </w:tcPr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(N.D. Cal.)</w:t>
            </w:r>
          </w:p>
        </w:tc>
        <w:tc>
          <w:tcPr>
            <w:tcW w:w="5760" w:type="dxa"/>
          </w:tcPr>
          <w:p w:rsidR="00602B57" w:rsidRDefault="00602B57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Shankar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Imperva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Inc., et al.</w:t>
            </w:r>
          </w:p>
          <w:p w:rsidR="00165FDD" w:rsidRDefault="00165FD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Shlomo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Kramer, and Terrence J.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Schmid</w:t>
            </w:r>
            <w:proofErr w:type="spellEnd"/>
          </w:p>
          <w:p w:rsidR="00165FDD" w:rsidRPr="00165FDD" w:rsidRDefault="00165FDD" w:rsidP="00165FD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5FDD">
              <w:rPr>
                <w:rFonts w:ascii="Courier New" w:hAnsi="Courier New" w:cs="Courier New"/>
                <w:sz w:val="20"/>
                <w:szCs w:val="20"/>
              </w:rPr>
              <w:t>Plaintiff alleges</w:t>
            </w:r>
            <w:r w:rsidRPr="00165FDD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165FDD">
              <w:rPr>
                <w:rFonts w:ascii="Courier New" w:hAnsi="Courier New" w:cs="Courier New"/>
                <w:sz w:val="20"/>
                <w:szCs w:val="20"/>
              </w:rPr>
              <w:t>that Defendants violated Section 10(b) of the Securities Exchange Act of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65FDD">
              <w:rPr>
                <w:rFonts w:ascii="Courier New" w:hAnsi="Courier New" w:cs="Courier New"/>
                <w:sz w:val="20"/>
                <w:szCs w:val="20"/>
              </w:rPr>
              <w:t>1934 (the “Exchange Act”) and that the Individual Defendants violated Section 20(a) of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65FDD">
              <w:rPr>
                <w:rFonts w:ascii="Courier New" w:hAnsi="Courier New" w:cs="Courier New"/>
                <w:sz w:val="20"/>
                <w:szCs w:val="20"/>
              </w:rPr>
              <w:t xml:space="preserve">Exchange Act, in connection with </w:t>
            </w:r>
            <w:r w:rsidR="00534143">
              <w:rPr>
                <w:rFonts w:ascii="Courier New" w:hAnsi="Courier New" w:cs="Courier New"/>
                <w:sz w:val="20"/>
                <w:szCs w:val="20"/>
              </w:rPr>
              <w:t>statements concerning</w:t>
            </w:r>
            <w:r w:rsidRPr="00165FD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165FDD">
              <w:rPr>
                <w:rFonts w:ascii="Courier New" w:hAnsi="Courier New" w:cs="Courier New"/>
                <w:sz w:val="20"/>
                <w:szCs w:val="20"/>
              </w:rPr>
              <w:t>Imperva’s</w:t>
            </w:r>
            <w:proofErr w:type="spellEnd"/>
            <w:r w:rsidRPr="00165FDD">
              <w:rPr>
                <w:rFonts w:ascii="Courier New" w:hAnsi="Courier New" w:cs="Courier New"/>
                <w:sz w:val="20"/>
                <w:szCs w:val="20"/>
              </w:rPr>
              <w:t xml:space="preserve"> success 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65FDD">
              <w:rPr>
                <w:rFonts w:ascii="Courier New" w:hAnsi="Courier New" w:cs="Courier New"/>
                <w:sz w:val="20"/>
                <w:szCs w:val="20"/>
              </w:rPr>
              <w:t>competing against International Business Machines Corporation (“IBM”).</w:t>
            </w:r>
          </w:p>
          <w:p w:rsidR="00165FDD" w:rsidRDefault="00165FD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02B57" w:rsidRDefault="00602B57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602B57" w:rsidRDefault="00602B57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165FDD" w:rsidRDefault="00165FD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165FDD" w:rsidRDefault="00165FDD" w:rsidP="00165FD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5FDD">
              <w:rPr>
                <w:rFonts w:ascii="Courier New" w:hAnsi="Courier New" w:cs="Courier New"/>
                <w:b/>
                <w:sz w:val="20"/>
                <w:szCs w:val="20"/>
              </w:rPr>
              <w:t>Robbins Geller Rudman</w:t>
            </w:r>
          </w:p>
          <w:p w:rsidR="00165FDD" w:rsidRPr="00165FDD" w:rsidRDefault="00165FDD" w:rsidP="00165FD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165FDD">
              <w:rPr>
                <w:rFonts w:ascii="Courier New" w:hAnsi="Courier New" w:cs="Courier New"/>
                <w:b/>
                <w:sz w:val="20"/>
                <w:szCs w:val="20"/>
              </w:rPr>
              <w:t>&amp; Dowd LLP</w:t>
            </w:r>
          </w:p>
          <w:p w:rsidR="00165FDD" w:rsidRPr="00165FDD" w:rsidRDefault="00165FDD" w:rsidP="00165FD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5FDD">
              <w:rPr>
                <w:rFonts w:ascii="Courier New" w:hAnsi="Courier New" w:cs="Courier New"/>
                <w:b/>
                <w:sz w:val="20"/>
                <w:szCs w:val="20"/>
              </w:rPr>
              <w:t>Douglas R. Britton</w:t>
            </w:r>
          </w:p>
          <w:p w:rsidR="00165FDD" w:rsidRPr="00165FDD" w:rsidRDefault="00165FDD" w:rsidP="00165FD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5FDD">
              <w:rPr>
                <w:rFonts w:ascii="Courier New" w:hAnsi="Courier New" w:cs="Courier New"/>
                <w:b/>
                <w:sz w:val="20"/>
                <w:szCs w:val="20"/>
              </w:rPr>
              <w:t>655 West Broadway</w:t>
            </w:r>
          </w:p>
          <w:p w:rsidR="00165FDD" w:rsidRPr="00165FDD" w:rsidRDefault="00165FDD" w:rsidP="00165FD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5FDD">
              <w:rPr>
                <w:rFonts w:ascii="Courier New" w:hAnsi="Courier New" w:cs="Courier New"/>
                <w:b/>
                <w:sz w:val="20"/>
                <w:szCs w:val="20"/>
              </w:rPr>
              <w:t>Suite 1900</w:t>
            </w:r>
          </w:p>
          <w:p w:rsidR="00165FDD" w:rsidRDefault="00165FDD" w:rsidP="00165FD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165FDD">
              <w:rPr>
                <w:rFonts w:ascii="Courier New" w:hAnsi="Courier New" w:cs="Courier New"/>
                <w:b/>
                <w:sz w:val="20"/>
                <w:szCs w:val="20"/>
              </w:rPr>
              <w:t>San Diego, CA 92101</w:t>
            </w:r>
          </w:p>
        </w:tc>
      </w:tr>
      <w:tr w:rsidR="00C139F8" w:rsidRPr="007167C0" w:rsidTr="00E45862">
        <w:tc>
          <w:tcPr>
            <w:tcW w:w="1443" w:type="dxa"/>
          </w:tcPr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9-1-2017</w:t>
            </w:r>
          </w:p>
        </w:tc>
        <w:tc>
          <w:tcPr>
            <w:tcW w:w="1710" w:type="dxa"/>
          </w:tcPr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14-CV-0821</w:t>
            </w:r>
          </w:p>
        </w:tc>
        <w:tc>
          <w:tcPr>
            <w:tcW w:w="1710" w:type="dxa"/>
          </w:tcPr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(S.D.N.Y.)</w:t>
            </w:r>
          </w:p>
        </w:tc>
        <w:tc>
          <w:tcPr>
            <w:tcW w:w="5760" w:type="dxa"/>
          </w:tcPr>
          <w:p w:rsidR="00C139F8" w:rsidRDefault="00C139F8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139F8" w:rsidRDefault="00C139F8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Echevarria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v. Bank of America Corporation, et al.</w:t>
            </w:r>
          </w:p>
          <w:p w:rsidR="00C51731" w:rsidRDefault="00C51731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Re Defenda</w:t>
            </w:r>
            <w:r w:rsidR="00293D5A">
              <w:rPr>
                <w:rFonts w:ascii="Courier New" w:hAnsi="Courier New" w:cs="Courier New"/>
                <w:b/>
                <w:sz w:val="20"/>
                <w:szCs w:val="20"/>
              </w:rPr>
              <w:t>nts: National Association and F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IA Card Services, N.A.</w:t>
            </w:r>
          </w:p>
          <w:p w:rsidR="00C139F8" w:rsidRPr="00C139F8" w:rsidRDefault="00C139F8" w:rsidP="00C139F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C139F8">
              <w:rPr>
                <w:rFonts w:ascii="Courier New" w:hAnsi="Courier New" w:cs="Courier New"/>
                <w:sz w:val="20"/>
                <w:szCs w:val="20"/>
              </w:rPr>
              <w:t>Plaintiff alleges that Defendants failed to update credit reporting information for credit card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39F8">
              <w:rPr>
                <w:rFonts w:ascii="Courier New" w:hAnsi="Courier New" w:cs="Courier New"/>
                <w:sz w:val="20"/>
                <w:szCs w:val="20"/>
              </w:rPr>
              <w:t>accounts sold to third parties where the accountholder’s debts were discharged in Chapter 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39F8">
              <w:rPr>
                <w:rFonts w:ascii="Courier New" w:hAnsi="Courier New" w:cs="Courier New"/>
                <w:sz w:val="20"/>
                <w:szCs w:val="20"/>
              </w:rPr>
              <w:t>bankruptcy after they were sold. As a result, the trade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39F8">
              <w:rPr>
                <w:rFonts w:ascii="Courier New" w:hAnsi="Courier New" w:cs="Courier New"/>
                <w:sz w:val="20"/>
                <w:szCs w:val="20"/>
              </w:rPr>
              <w:t>lines continued to reflect that the debts were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39F8">
              <w:rPr>
                <w:rFonts w:ascii="Courier New" w:hAnsi="Courier New" w:cs="Courier New"/>
                <w:sz w:val="20"/>
                <w:szCs w:val="20"/>
              </w:rPr>
              <w:t>sold, charged off, and $0 balance, and did not indicate that the debts were included in bankruptcy.</w:t>
            </w:r>
          </w:p>
          <w:p w:rsidR="00C51731" w:rsidRDefault="00C51731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C139F8" w:rsidRDefault="00C139F8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C139F8" w:rsidRDefault="00C139F8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</w:t>
            </w:r>
            <w:r w:rsidR="00813A26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or call</w:t>
            </w: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:</w:t>
            </w:r>
          </w:p>
          <w:p w:rsidR="00C139F8" w:rsidRDefault="00C139F8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C139F8" w:rsidRPr="00D65F68" w:rsidRDefault="00C139F8" w:rsidP="00C139F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65F68">
              <w:rPr>
                <w:rFonts w:ascii="Courier New" w:hAnsi="Courier New" w:cs="Courier New"/>
                <w:b/>
                <w:bCs/>
                <w:sz w:val="16"/>
                <w:szCs w:val="16"/>
              </w:rPr>
              <w:t>BOIES SCHILLER &amp; FLEXNER LLP</w:t>
            </w:r>
          </w:p>
          <w:p w:rsidR="00C139F8" w:rsidRPr="00D65F68" w:rsidRDefault="00C139F8" w:rsidP="00C139F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5F68">
              <w:rPr>
                <w:rFonts w:ascii="Courier New" w:hAnsi="Courier New" w:cs="Courier New"/>
                <w:b/>
                <w:sz w:val="16"/>
                <w:szCs w:val="16"/>
              </w:rPr>
              <w:t xml:space="preserve">George </w:t>
            </w:r>
            <w:proofErr w:type="spellStart"/>
            <w:r w:rsidRPr="00D65F68">
              <w:rPr>
                <w:rFonts w:ascii="Courier New" w:hAnsi="Courier New" w:cs="Courier New"/>
                <w:b/>
                <w:sz w:val="16"/>
                <w:szCs w:val="16"/>
              </w:rPr>
              <w:t>Carpinello</w:t>
            </w:r>
            <w:proofErr w:type="spellEnd"/>
          </w:p>
          <w:p w:rsidR="00C139F8" w:rsidRPr="00D65F68" w:rsidRDefault="00C139F8" w:rsidP="00C139F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5F68">
              <w:rPr>
                <w:rFonts w:ascii="Courier New" w:hAnsi="Courier New" w:cs="Courier New"/>
                <w:b/>
                <w:sz w:val="16"/>
                <w:szCs w:val="16"/>
              </w:rPr>
              <w:t>30 South Pearl Street</w:t>
            </w:r>
          </w:p>
          <w:p w:rsidR="00C139F8" w:rsidRPr="00D65F68" w:rsidRDefault="00C139F8" w:rsidP="00C139F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5F68">
              <w:rPr>
                <w:rFonts w:ascii="Courier New" w:hAnsi="Courier New" w:cs="Courier New"/>
                <w:b/>
                <w:sz w:val="16"/>
                <w:szCs w:val="16"/>
              </w:rPr>
              <w:t>Albany, NY 12207</w:t>
            </w:r>
          </w:p>
          <w:p w:rsidR="00813A26" w:rsidRPr="00D65F68" w:rsidRDefault="00813A26" w:rsidP="00C139F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C139F8" w:rsidRPr="00D65F68" w:rsidRDefault="00C139F8" w:rsidP="00C139F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5F68">
              <w:rPr>
                <w:rFonts w:ascii="Courier New" w:hAnsi="Courier New" w:cs="Courier New"/>
                <w:b/>
                <w:sz w:val="16"/>
                <w:szCs w:val="16"/>
              </w:rPr>
              <w:t>518 434-0600</w:t>
            </w:r>
            <w:r w:rsidR="00813A26" w:rsidRPr="00D65F68">
              <w:rPr>
                <w:rFonts w:ascii="Courier New" w:hAnsi="Courier New" w:cs="Courier New"/>
                <w:b/>
                <w:sz w:val="16"/>
                <w:szCs w:val="16"/>
              </w:rPr>
              <w:t xml:space="preserve"> (Ph.)</w:t>
            </w:r>
          </w:p>
          <w:p w:rsidR="00813A26" w:rsidRPr="00D65F68" w:rsidRDefault="00813A26" w:rsidP="00C139F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C139F8" w:rsidRDefault="00C139F8" w:rsidP="00C139F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D65F68">
              <w:rPr>
                <w:rFonts w:ascii="Courier New" w:hAnsi="Courier New" w:cs="Courier New"/>
                <w:b/>
                <w:sz w:val="16"/>
                <w:szCs w:val="16"/>
              </w:rPr>
              <w:t>Attention: Annabel Felton</w:t>
            </w:r>
          </w:p>
        </w:tc>
      </w:tr>
      <w:tr w:rsidR="00165FDD" w:rsidRPr="007167C0" w:rsidTr="00E45862">
        <w:tc>
          <w:tcPr>
            <w:tcW w:w="1443" w:type="dxa"/>
          </w:tcPr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9-5-2017</w:t>
            </w:r>
          </w:p>
        </w:tc>
        <w:tc>
          <w:tcPr>
            <w:tcW w:w="1710" w:type="dxa"/>
          </w:tcPr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15-CV-462</w:t>
            </w:r>
          </w:p>
        </w:tc>
        <w:tc>
          <w:tcPr>
            <w:tcW w:w="1710" w:type="dxa"/>
          </w:tcPr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(M.D.N.C.)</w:t>
            </w:r>
          </w:p>
        </w:tc>
        <w:tc>
          <w:tcPr>
            <w:tcW w:w="5760" w:type="dxa"/>
          </w:tcPr>
          <w:p w:rsidR="00165FDD" w:rsidRDefault="00165FD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65FDD" w:rsidRDefault="00165FD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Danielle Seaman v. Duke University and Duke University Health System, et al.</w:t>
            </w:r>
          </w:p>
          <w:p w:rsidR="005B71EA" w:rsidRDefault="005B71EA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 alleges that the No-Hire Agreement violates state and federal antitrust laws, and resulted in suppressed mobility and compensation of certain employees of Duke and UNC. </w:t>
            </w:r>
          </w:p>
          <w:p w:rsidR="00DB5A89" w:rsidRPr="005B71EA" w:rsidRDefault="00DB5A89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165FDD" w:rsidRDefault="00165FD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165FDD" w:rsidRDefault="005B71EA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165FDD" w:rsidRDefault="00165FD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5B71EA" w:rsidRDefault="005B71EA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</w:t>
            </w:r>
            <w:r w:rsidR="00BF1F94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more information call or fax:</w:t>
            </w:r>
          </w:p>
          <w:p w:rsidR="00BF1F94" w:rsidRDefault="00BF1F94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BF1F94" w:rsidRPr="002C580D" w:rsidRDefault="00BF1F94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2C580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Dean M. Harvey</w:t>
            </w:r>
          </w:p>
          <w:p w:rsidR="00BF1F94" w:rsidRPr="002C580D" w:rsidRDefault="00BF1F94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BF1F94" w:rsidRPr="002C580D" w:rsidRDefault="00BF1F94" w:rsidP="00BF1F94">
            <w:pPr>
              <w:pStyle w:val="NormalWeb"/>
              <w:rPr>
                <w:rFonts w:ascii="Courier New" w:hAnsi="Courier New" w:cs="Courier New"/>
                <w:b/>
                <w:color w:val="2E2E2E"/>
                <w:sz w:val="16"/>
                <w:szCs w:val="16"/>
              </w:rPr>
            </w:pPr>
            <w:r w:rsidRPr="002C580D">
              <w:rPr>
                <w:rFonts w:ascii="Courier New" w:hAnsi="Courier New" w:cs="Courier New"/>
                <w:b/>
                <w:color w:val="2E2E2E"/>
                <w:sz w:val="16"/>
                <w:szCs w:val="16"/>
              </w:rPr>
              <w:t>415 956-1000 (Ph.)</w:t>
            </w:r>
          </w:p>
          <w:p w:rsidR="005B71EA" w:rsidRDefault="00BF1F94" w:rsidP="00A83807">
            <w:pPr>
              <w:pStyle w:val="NormalWeb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2C580D">
              <w:rPr>
                <w:rFonts w:ascii="Courier New" w:hAnsi="Courier New" w:cs="Courier New"/>
                <w:b/>
                <w:color w:val="2E2E2E"/>
                <w:sz w:val="16"/>
                <w:szCs w:val="16"/>
              </w:rPr>
              <w:t>415 956-1008 (Fax)</w:t>
            </w:r>
          </w:p>
        </w:tc>
      </w:tr>
      <w:tr w:rsidR="00BF1F94" w:rsidRPr="007167C0" w:rsidTr="00E45862">
        <w:tc>
          <w:tcPr>
            <w:tcW w:w="1443" w:type="dxa"/>
          </w:tcPr>
          <w:p w:rsidR="00BF1F94" w:rsidRDefault="00BF1F94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F1F94" w:rsidRDefault="00BF1F94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9-7-2017</w:t>
            </w:r>
          </w:p>
        </w:tc>
        <w:tc>
          <w:tcPr>
            <w:tcW w:w="1710" w:type="dxa"/>
          </w:tcPr>
          <w:p w:rsidR="00BF1F94" w:rsidRDefault="00BF1F94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F1F94" w:rsidRDefault="00BF1F94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16-CV-4232</w:t>
            </w:r>
          </w:p>
        </w:tc>
        <w:tc>
          <w:tcPr>
            <w:tcW w:w="1710" w:type="dxa"/>
          </w:tcPr>
          <w:p w:rsidR="00BF1F94" w:rsidRDefault="00BF1F94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F1F94" w:rsidRDefault="00BF1F94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(N.D. Ill.)</w:t>
            </w:r>
          </w:p>
        </w:tc>
        <w:tc>
          <w:tcPr>
            <w:tcW w:w="5760" w:type="dxa"/>
          </w:tcPr>
          <w:p w:rsidR="00BF1F94" w:rsidRDefault="00BF1F94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F1F94" w:rsidRDefault="00BF1F94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In re: Wheaton Franciscan ERISA Litigation</w:t>
            </w:r>
          </w:p>
          <w:p w:rsidR="00B827FE" w:rsidRDefault="00B827FE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Wheaton Franciscan Services, Inc. d/b/a Wheaton Franciscan Healthcare, Wheaton Franciscan System Retirement Plan Committee </w:t>
            </w:r>
          </w:p>
          <w:p w:rsidR="00B827FE" w:rsidRDefault="00E8201B" w:rsidP="00B827FE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Plaintiff</w:t>
            </w:r>
            <w:r w:rsidR="00B827FE">
              <w:rPr>
                <w:rFonts w:ascii="Courier New" w:hAnsi="Courier New" w:cs="Courier New"/>
                <w:sz w:val="20"/>
                <w:szCs w:val="20"/>
              </w:rPr>
              <w:t xml:space="preserve"> alleges that Defendants denied </w:t>
            </w:r>
            <w:r w:rsidR="00D50AE7">
              <w:rPr>
                <w:rFonts w:ascii="Courier New" w:hAnsi="Courier New" w:cs="Courier New"/>
                <w:sz w:val="20"/>
                <w:szCs w:val="20"/>
              </w:rPr>
              <w:t>Employee Retirement Income Security Act (“</w:t>
            </w:r>
            <w:r w:rsidR="00B827FE">
              <w:rPr>
                <w:rFonts w:ascii="Courier New" w:hAnsi="Courier New" w:cs="Courier New"/>
                <w:sz w:val="20"/>
                <w:szCs w:val="20"/>
              </w:rPr>
              <w:t>ERISA</w:t>
            </w:r>
            <w:r w:rsidR="00D50AE7">
              <w:rPr>
                <w:rFonts w:ascii="Courier New" w:hAnsi="Courier New" w:cs="Courier New"/>
                <w:sz w:val="20"/>
                <w:szCs w:val="20"/>
              </w:rPr>
              <w:t>”)</w:t>
            </w:r>
            <w:r w:rsidR="00B827FE">
              <w:rPr>
                <w:rFonts w:ascii="Courier New" w:hAnsi="Courier New" w:cs="Courier New"/>
                <w:sz w:val="20"/>
                <w:szCs w:val="20"/>
              </w:rPr>
              <w:t xml:space="preserve"> protections to the participants and beneficiaries of the Plan, a defined benefit pension plan sponsored by Wheaton and, subsequently, Ascension Health, by incorrectly claiming that the Plan qualifies as an ERISA-exempt “church plan.” The complaints further allege that asserting this exemption caused Defendants to deny Plan participants the protections of ERISA.  </w:t>
            </w:r>
          </w:p>
          <w:p w:rsidR="00B827FE" w:rsidRPr="00B827FE" w:rsidRDefault="00B827FE" w:rsidP="00B827FE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1F94" w:rsidRDefault="00BF1F94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BF1F94" w:rsidRDefault="00B827FE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BF1F94" w:rsidRDefault="00BF1F94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B827FE" w:rsidRDefault="00B827FE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For more information </w:t>
            </w:r>
            <w:r w:rsidR="00D50AE7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:</w:t>
            </w:r>
          </w:p>
          <w:p w:rsidR="00B827FE" w:rsidRDefault="00B827FE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B827FE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hyperlink r:id="rId10" w:history="1">
              <w:r w:rsidR="00D50AE7" w:rsidRPr="00E056E6">
                <w:rPr>
                  <w:rStyle w:val="Hyperlink"/>
                  <w:rFonts w:ascii="Courier New" w:hAnsi="Courier New" w:cs="Courier New"/>
                  <w:b/>
                  <w:noProof/>
                  <w:sz w:val="20"/>
                  <w:szCs w:val="20"/>
                </w:rPr>
                <w:t>www.cohenmilstein.com/wheaton-settlement</w:t>
              </w:r>
            </w:hyperlink>
          </w:p>
          <w:p w:rsidR="00D50AE7" w:rsidRDefault="00D50AE7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D50AE7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hyperlink r:id="rId11" w:history="1">
              <w:r w:rsidR="00D50AE7" w:rsidRPr="00E056E6">
                <w:rPr>
                  <w:rStyle w:val="Hyperlink"/>
                  <w:rFonts w:ascii="Courier New" w:hAnsi="Courier New" w:cs="Courier New"/>
                  <w:b/>
                  <w:noProof/>
                  <w:sz w:val="20"/>
                  <w:szCs w:val="20"/>
                </w:rPr>
                <w:t>www.kellersettlements.com</w:t>
              </w:r>
            </w:hyperlink>
          </w:p>
          <w:p w:rsidR="00D50AE7" w:rsidRDefault="00D50AE7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D50AE7" w:rsidRPr="007167C0" w:rsidTr="00E45862">
        <w:tc>
          <w:tcPr>
            <w:tcW w:w="1443" w:type="dxa"/>
          </w:tcPr>
          <w:p w:rsidR="00D50AE7" w:rsidRDefault="00D50AE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D50AE7" w:rsidRDefault="0051733E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9-7-2017</w:t>
            </w:r>
          </w:p>
        </w:tc>
        <w:tc>
          <w:tcPr>
            <w:tcW w:w="1710" w:type="dxa"/>
          </w:tcPr>
          <w:p w:rsidR="00D50AE7" w:rsidRDefault="00D50AE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1733E" w:rsidRDefault="0051733E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12-CV-08388</w:t>
            </w:r>
          </w:p>
          <w:p w:rsidR="0051733E" w:rsidRDefault="0051733E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1733E" w:rsidRDefault="0051733E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15-CV-02140</w:t>
            </w:r>
          </w:p>
          <w:p w:rsidR="0051733E" w:rsidRDefault="0051733E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15-CV-08831</w:t>
            </w:r>
          </w:p>
        </w:tc>
        <w:tc>
          <w:tcPr>
            <w:tcW w:w="1710" w:type="dxa"/>
          </w:tcPr>
          <w:p w:rsidR="00D50AE7" w:rsidRDefault="00D50AE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D50AE7" w:rsidRDefault="00D50AE7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1733E" w:rsidRDefault="0051733E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Omar Vargas, Robert Bertone, Michelle Harris, and Sharon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Heberling</w:t>
            </w:r>
            <w:proofErr w:type="spellEnd"/>
          </w:p>
          <w:p w:rsidR="0051733E" w:rsidRDefault="0051733E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Klipfel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et al. v. Ford Motor Company</w:t>
            </w:r>
          </w:p>
          <w:p w:rsidR="0051733E" w:rsidRDefault="0051733E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Cusick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et al. v. Ford Motor Company</w:t>
            </w:r>
          </w:p>
          <w:p w:rsidR="001C15C7" w:rsidRDefault="001C15C7" w:rsidP="00A8380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Plaintiffs allege</w:t>
            </w:r>
            <w:r w:rsidR="0051733E" w:rsidRPr="001C15C7">
              <w:rPr>
                <w:rFonts w:ascii="Courier New" w:hAnsi="Courier New" w:cs="Courier New"/>
                <w:sz w:val="20"/>
                <w:szCs w:val="20"/>
              </w:rPr>
              <w:t xml:space="preserve"> that certain Ford Focus and Fiesta vehicles are equipped with defective </w:t>
            </w:r>
            <w:proofErr w:type="spellStart"/>
            <w:r w:rsidR="0051733E" w:rsidRPr="001C15C7">
              <w:rPr>
                <w:rFonts w:ascii="Courier New" w:hAnsi="Courier New" w:cs="Courier New"/>
                <w:sz w:val="20"/>
                <w:szCs w:val="20"/>
              </w:rPr>
              <w:t>PowerShift</w:t>
            </w:r>
            <w:proofErr w:type="spellEnd"/>
            <w:r w:rsidR="0051733E" w:rsidRPr="001C15C7">
              <w:rPr>
                <w:rFonts w:ascii="Courier New" w:hAnsi="Courier New" w:cs="Courier New"/>
                <w:sz w:val="20"/>
                <w:szCs w:val="20"/>
              </w:rPr>
              <w:t xml:space="preserve"> Dual-Clutch Automatic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733E" w:rsidRPr="001C15C7">
              <w:rPr>
                <w:rFonts w:ascii="Courier New" w:hAnsi="Courier New" w:cs="Courier New"/>
                <w:sz w:val="20"/>
                <w:szCs w:val="20"/>
              </w:rPr>
              <w:t>(DPS6) Transmissions (“</w:t>
            </w:r>
            <w:proofErr w:type="spellStart"/>
            <w:r w:rsidR="0051733E" w:rsidRPr="001C15C7">
              <w:rPr>
                <w:rFonts w:ascii="Courier New" w:hAnsi="Courier New" w:cs="Courier New"/>
                <w:sz w:val="20"/>
                <w:szCs w:val="20"/>
              </w:rPr>
              <w:t>PowerShift</w:t>
            </w:r>
            <w:proofErr w:type="spellEnd"/>
            <w:r w:rsidR="0051733E" w:rsidRPr="001C15C7">
              <w:rPr>
                <w:rFonts w:ascii="Courier New" w:hAnsi="Courier New" w:cs="Courier New"/>
                <w:sz w:val="20"/>
                <w:szCs w:val="20"/>
              </w:rPr>
              <w:t xml:space="preserve"> Transmission”) that may slip, buck, kick, or jerk, and result in sudden or delayed vehicle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733E" w:rsidRPr="001C15C7">
              <w:rPr>
                <w:rFonts w:ascii="Courier New" w:hAnsi="Courier New" w:cs="Courier New"/>
                <w:sz w:val="20"/>
                <w:szCs w:val="20"/>
              </w:rPr>
              <w:t>acceleration.</w:t>
            </w:r>
          </w:p>
          <w:p w:rsidR="00180C70" w:rsidRDefault="00180C70" w:rsidP="00A8380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A83807" w:rsidRDefault="00A83807" w:rsidP="00A8380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50AE7" w:rsidRDefault="00D50AE7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51733E" w:rsidRDefault="0051733E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10-2-2017</w:t>
            </w:r>
          </w:p>
        </w:tc>
        <w:tc>
          <w:tcPr>
            <w:tcW w:w="2970" w:type="dxa"/>
          </w:tcPr>
          <w:p w:rsidR="00D50AE7" w:rsidRDefault="00D50AE7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51733E" w:rsidRDefault="0051733E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For more information </w:t>
            </w:r>
            <w:r w:rsidR="00D65F68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visit or call</w:t>
            </w: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:</w:t>
            </w:r>
          </w:p>
          <w:p w:rsidR="0051733E" w:rsidRDefault="0051733E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1C15C7" w:rsidRPr="001C15C7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hyperlink r:id="rId12" w:history="1">
              <w:r w:rsidR="001C15C7" w:rsidRPr="001C15C7">
                <w:rPr>
                  <w:rStyle w:val="Hyperlink"/>
                  <w:rFonts w:ascii="Courier New" w:hAnsi="Courier New" w:cs="Courier New"/>
                  <w:b/>
                  <w:bCs/>
                  <w:sz w:val="18"/>
                  <w:szCs w:val="18"/>
                </w:rPr>
                <w:t>www.FordTransmissionSettlement.com</w:t>
              </w:r>
            </w:hyperlink>
          </w:p>
          <w:p w:rsidR="001C15C7" w:rsidRPr="001C15C7" w:rsidRDefault="001C15C7" w:rsidP="007F297B">
            <w:pPr>
              <w:pStyle w:val="PlainText"/>
              <w:jc w:val="lef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51733E" w:rsidRDefault="001C15C7" w:rsidP="001C15C7">
            <w:pPr>
              <w:pStyle w:val="PlainText"/>
              <w:jc w:val="lef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844</w:t>
            </w:r>
            <w:r w:rsidRPr="001C15C7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540-6011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(Ph.)</w:t>
            </w:r>
          </w:p>
          <w:p w:rsidR="001C15C7" w:rsidRDefault="001C15C7" w:rsidP="001C15C7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1C15C7" w:rsidRPr="007167C0" w:rsidTr="00E45862">
        <w:tc>
          <w:tcPr>
            <w:tcW w:w="1443" w:type="dxa"/>
          </w:tcPr>
          <w:p w:rsidR="001C15C7" w:rsidRDefault="001C15C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C15C7" w:rsidRDefault="00A410C9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9-7-2017</w:t>
            </w:r>
          </w:p>
        </w:tc>
        <w:tc>
          <w:tcPr>
            <w:tcW w:w="1710" w:type="dxa"/>
          </w:tcPr>
          <w:p w:rsidR="001C15C7" w:rsidRDefault="001C15C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A410C9" w:rsidRDefault="00A410C9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16-CV-58</w:t>
            </w:r>
          </w:p>
        </w:tc>
        <w:tc>
          <w:tcPr>
            <w:tcW w:w="1710" w:type="dxa"/>
          </w:tcPr>
          <w:p w:rsidR="001C15C7" w:rsidRDefault="001C15C7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A410C9" w:rsidRDefault="00A410C9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(D. Md.)</w:t>
            </w:r>
          </w:p>
        </w:tc>
        <w:tc>
          <w:tcPr>
            <w:tcW w:w="5760" w:type="dxa"/>
          </w:tcPr>
          <w:p w:rsidR="001C15C7" w:rsidRDefault="001C15C7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A410C9" w:rsidRDefault="00A410C9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James Williams, et al.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CoreLogic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rental Property Solutions, LLC</w:t>
            </w:r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The lawsuit alleges that </w:t>
            </w:r>
            <w:proofErr w:type="spellStart"/>
            <w:r w:rsidRPr="00A91382">
              <w:rPr>
                <w:rFonts w:ascii="Courier New" w:hAnsi="Courier New" w:cs="Courier New"/>
                <w:sz w:val="20"/>
                <w:szCs w:val="20"/>
              </w:rPr>
              <w:t>CoreLogic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Rental Property Solutions, LLC (“RPS”) violated the </w:t>
            </w:r>
            <w:r>
              <w:rPr>
                <w:rFonts w:ascii="Courier New" w:hAnsi="Courier New" w:cs="Courier New"/>
                <w:sz w:val="20"/>
                <w:szCs w:val="20"/>
              </w:rPr>
              <w:t>Fair Credit Reporting Act (“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>FCRA</w:t>
            </w:r>
            <w:r>
              <w:rPr>
                <w:rFonts w:ascii="Courier New" w:hAnsi="Courier New" w:cs="Courier New"/>
                <w:sz w:val="20"/>
                <w:szCs w:val="20"/>
              </w:rPr>
              <w:t>”)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 by willfully: (1) failing to provide the class members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>with a complete copy of all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>information in their consumer file upon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>request by failing to identify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>entity that had provided the criminal record(s) to RPS; and (2) listing the following phrases on file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disclosures: “Statewide Criminal Search Report by </w:t>
            </w:r>
            <w:proofErr w:type="spellStart"/>
            <w:r w:rsidRPr="00A91382">
              <w:rPr>
                <w:rFonts w:ascii="Courier New" w:hAnsi="Courier New" w:cs="Courier New"/>
                <w:sz w:val="20"/>
                <w:szCs w:val="20"/>
              </w:rPr>
              <w:t>Crimcheck</w:t>
            </w:r>
            <w:proofErr w:type="spellEnd"/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 America,” “Multistate Criminal Search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Report by </w:t>
            </w:r>
            <w:proofErr w:type="spellStart"/>
            <w:r w:rsidRPr="00A91382">
              <w:rPr>
                <w:rFonts w:ascii="Courier New" w:hAnsi="Courier New" w:cs="Courier New"/>
                <w:sz w:val="20"/>
                <w:szCs w:val="20"/>
              </w:rPr>
              <w:t>Crimcheck</w:t>
            </w:r>
            <w:proofErr w:type="spellEnd"/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 America,” or “Sex Offender Search Report by </w:t>
            </w:r>
            <w:proofErr w:type="spellStart"/>
            <w:r w:rsidRPr="00A91382">
              <w:rPr>
                <w:rFonts w:ascii="Courier New" w:hAnsi="Courier New" w:cs="Courier New"/>
                <w:sz w:val="20"/>
                <w:szCs w:val="20"/>
              </w:rPr>
              <w:t>Crimcheck</w:t>
            </w:r>
            <w:proofErr w:type="spellEnd"/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 America.”</w:t>
            </w:r>
          </w:p>
          <w:p w:rsidR="00A410C9" w:rsidRPr="00A410C9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A913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1C15C7" w:rsidRDefault="001C15C7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A410C9" w:rsidRDefault="00A410C9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1C15C7" w:rsidRDefault="001C15C7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A410C9" w:rsidRDefault="00A410C9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For more information write, call or </w:t>
            </w:r>
            <w:r w:rsidR="00CB40C6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fax</w:t>
            </w: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:</w:t>
            </w:r>
          </w:p>
          <w:p w:rsidR="00A410C9" w:rsidRDefault="00A410C9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9A786C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A91382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Kristi C. Kelly</w:t>
            </w:r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 xml:space="preserve">Andrew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Guzzo</w:t>
            </w:r>
            <w:proofErr w:type="spellEnd"/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Kelly &amp; Crandall, PLC</w:t>
            </w:r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3925 Chain Bridge Road</w:t>
            </w:r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Suite 202</w:t>
            </w:r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Fairfax, VA 22030</w:t>
            </w:r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703 424-7576 (Ph.)</w:t>
            </w:r>
          </w:p>
          <w:p w:rsid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A91382" w:rsidRPr="00A91382" w:rsidRDefault="00A91382" w:rsidP="00A9138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703 591-0167 (Fax)</w:t>
            </w:r>
          </w:p>
        </w:tc>
      </w:tr>
      <w:tr w:rsidR="00C139F8" w:rsidRPr="007167C0" w:rsidTr="00E45862">
        <w:tc>
          <w:tcPr>
            <w:tcW w:w="1443" w:type="dxa"/>
          </w:tcPr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139F8" w:rsidRDefault="009A786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9-8-2017</w:t>
            </w:r>
          </w:p>
        </w:tc>
        <w:tc>
          <w:tcPr>
            <w:tcW w:w="1710" w:type="dxa"/>
          </w:tcPr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786C" w:rsidRDefault="009A786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10-CV-01811</w:t>
            </w:r>
          </w:p>
        </w:tc>
        <w:tc>
          <w:tcPr>
            <w:tcW w:w="1710" w:type="dxa"/>
          </w:tcPr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786C" w:rsidRDefault="009A786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(N.D. Cal.)</w:t>
            </w:r>
          </w:p>
        </w:tc>
        <w:tc>
          <w:tcPr>
            <w:tcW w:w="5760" w:type="dxa"/>
          </w:tcPr>
          <w:p w:rsidR="00C139F8" w:rsidRDefault="00C139F8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786C" w:rsidRDefault="009A786C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In re: Sony PS3 “Other OS” Litigation</w:t>
            </w:r>
          </w:p>
          <w:p w:rsidR="009A786C" w:rsidRPr="009A786C" w:rsidRDefault="009A786C" w:rsidP="002C580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9A786C">
              <w:rPr>
                <w:rFonts w:ascii="Courier New" w:hAnsi="Courier New" w:cs="Courier New"/>
                <w:sz w:val="20"/>
                <w:szCs w:val="20"/>
              </w:rPr>
              <w:t>The Lawsuit claims that disabling the Other OS functionality in Fat PS3s through a firmware update constituted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A786C">
              <w:rPr>
                <w:rFonts w:ascii="Courier New" w:hAnsi="Courier New" w:cs="Courier New"/>
                <w:sz w:val="20"/>
                <w:szCs w:val="20"/>
              </w:rPr>
              <w:t>an unfair and unlawful business practice and false advertising. The lawsuit seeks recovery of monetary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A786C">
              <w:rPr>
                <w:rFonts w:ascii="Courier New" w:hAnsi="Courier New" w:cs="Courier New"/>
                <w:sz w:val="20"/>
                <w:szCs w:val="20"/>
              </w:rPr>
              <w:t>damages to compensate Fat PS3 purchasers for the loss of the Other OS feature and functionality.</w:t>
            </w:r>
          </w:p>
        </w:tc>
        <w:tc>
          <w:tcPr>
            <w:tcW w:w="1440" w:type="dxa"/>
          </w:tcPr>
          <w:p w:rsidR="00C139F8" w:rsidRDefault="00C139F8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9A786C" w:rsidRDefault="009A786C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C139F8" w:rsidRDefault="00C139F8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9A786C" w:rsidRDefault="009A786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 call</w:t>
            </w:r>
            <w:r w:rsidR="00E8201B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or </w:t>
            </w: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fax:</w:t>
            </w:r>
          </w:p>
          <w:p w:rsidR="009A786C" w:rsidRDefault="009A786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026096" w:rsidRPr="00960372" w:rsidRDefault="00026096" w:rsidP="0002609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 xml:space="preserve">James </w:t>
            </w:r>
            <w:proofErr w:type="spellStart"/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>Pizzirusso</w:t>
            </w:r>
            <w:proofErr w:type="spellEnd"/>
          </w:p>
          <w:p w:rsidR="00026096" w:rsidRPr="00960372" w:rsidRDefault="00026096" w:rsidP="0002609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>Hausfeld</w:t>
            </w:r>
            <w:proofErr w:type="spellEnd"/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 xml:space="preserve"> LLP</w:t>
            </w:r>
          </w:p>
          <w:p w:rsidR="00026096" w:rsidRPr="00960372" w:rsidRDefault="00026096" w:rsidP="0002609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>1700 K St</w:t>
            </w:r>
            <w:r w:rsidR="00E8201B">
              <w:rPr>
                <w:rFonts w:ascii="Courier New" w:hAnsi="Courier New" w:cs="Courier New"/>
                <w:b/>
                <w:sz w:val="16"/>
                <w:szCs w:val="16"/>
              </w:rPr>
              <w:t>reet</w:t>
            </w:r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 xml:space="preserve"> N</w:t>
            </w:r>
            <w:r w:rsidR="00E8201B">
              <w:rPr>
                <w:rFonts w:ascii="Courier New" w:hAnsi="Courier New" w:cs="Courier New"/>
                <w:b/>
                <w:sz w:val="16"/>
                <w:szCs w:val="16"/>
              </w:rPr>
              <w:t>.</w:t>
            </w:r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 xml:space="preserve">W. </w:t>
            </w:r>
          </w:p>
          <w:p w:rsidR="00026096" w:rsidRPr="00960372" w:rsidRDefault="00CB40C6" w:rsidP="0002609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Suite</w:t>
            </w:r>
            <w:r w:rsidR="00026096" w:rsidRPr="00960372">
              <w:rPr>
                <w:rFonts w:ascii="Courier New" w:hAnsi="Courier New" w:cs="Courier New"/>
                <w:b/>
                <w:sz w:val="16"/>
                <w:szCs w:val="16"/>
              </w:rPr>
              <w:t xml:space="preserve"> 650</w:t>
            </w:r>
          </w:p>
          <w:p w:rsidR="00026096" w:rsidRPr="00960372" w:rsidRDefault="00026096" w:rsidP="0002609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>Washington, D.C. 20006</w:t>
            </w:r>
          </w:p>
          <w:p w:rsidR="00026096" w:rsidRPr="00960372" w:rsidRDefault="00026096" w:rsidP="0002609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026096" w:rsidRPr="00960372" w:rsidRDefault="00026096" w:rsidP="0002609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>202 540-7200 (Ph.)</w:t>
            </w:r>
          </w:p>
          <w:p w:rsidR="00026096" w:rsidRPr="00960372" w:rsidRDefault="00026096" w:rsidP="0002609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5D20FE" w:rsidRDefault="00026096" w:rsidP="0096037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60372">
              <w:rPr>
                <w:rFonts w:ascii="Courier New" w:hAnsi="Courier New" w:cs="Courier New"/>
                <w:b/>
                <w:sz w:val="16"/>
                <w:szCs w:val="16"/>
              </w:rPr>
              <w:t>202 540-7201 (Fax)</w:t>
            </w:r>
          </w:p>
          <w:p w:rsidR="00A83807" w:rsidRDefault="00A83807" w:rsidP="0096037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E45862">
        <w:tc>
          <w:tcPr>
            <w:tcW w:w="1443" w:type="dxa"/>
          </w:tcPr>
          <w:p w:rsidR="002C580D" w:rsidRDefault="002C580D" w:rsidP="002C580D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9-8-2017</w:t>
            </w:r>
          </w:p>
        </w:tc>
        <w:tc>
          <w:tcPr>
            <w:tcW w:w="1710" w:type="dxa"/>
          </w:tcPr>
          <w:p w:rsidR="002C580D" w:rsidRDefault="002C580D" w:rsidP="002C580D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13-MD-02493</w:t>
            </w:r>
          </w:p>
        </w:tc>
        <w:tc>
          <w:tcPr>
            <w:tcW w:w="1710" w:type="dxa"/>
          </w:tcPr>
          <w:p w:rsidR="002C580D" w:rsidRDefault="002C580D" w:rsidP="002C580D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(N.D.W. Va.)</w:t>
            </w:r>
          </w:p>
        </w:tc>
        <w:tc>
          <w:tcPr>
            <w:tcW w:w="5760" w:type="dxa"/>
          </w:tcPr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In re: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Monitronics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Internatinal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Inc., Telephone Consumer Protection Act Litigation</w:t>
            </w:r>
          </w:p>
          <w:p w:rsidR="002C580D" w:rsidRPr="007D3598" w:rsidRDefault="002C580D" w:rsidP="002C580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7D3598">
              <w:rPr>
                <w:rFonts w:ascii="Courier New" w:hAnsi="Courier New" w:cs="Courier New"/>
                <w:sz w:val="20"/>
                <w:szCs w:val="20"/>
              </w:rPr>
              <w:t xml:space="preserve">Plaintiffs allege that, on or after </w:t>
            </w:r>
            <w:r>
              <w:rPr>
                <w:rFonts w:ascii="Courier New" w:hAnsi="Courier New" w:cs="Courier New"/>
                <w:sz w:val="20"/>
                <w:szCs w:val="20"/>
              </w:rPr>
              <w:t>5-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 xml:space="preserve"> 2007, </w:t>
            </w:r>
            <w:proofErr w:type="spellStart"/>
            <w:r w:rsidRPr="007D3598">
              <w:rPr>
                <w:rFonts w:ascii="Courier New" w:hAnsi="Courier New" w:cs="Courier New"/>
                <w:sz w:val="20"/>
                <w:szCs w:val="20"/>
              </w:rPr>
              <w:t>Monitronics</w:t>
            </w:r>
            <w:proofErr w:type="spellEnd"/>
            <w:r w:rsidRPr="007D3598">
              <w:rPr>
                <w:rFonts w:ascii="Courier New" w:hAnsi="Courier New" w:cs="Courier New"/>
                <w:sz w:val="20"/>
                <w:szCs w:val="20"/>
              </w:rPr>
              <w:t xml:space="preserve"> violated the Telephone</w:t>
            </w:r>
          </w:p>
          <w:p w:rsidR="002C580D" w:rsidRDefault="002C580D" w:rsidP="002C580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7D3598">
              <w:rPr>
                <w:rFonts w:ascii="Courier New" w:hAnsi="Courier New" w:cs="Courier New"/>
                <w:sz w:val="20"/>
                <w:szCs w:val="20"/>
              </w:rPr>
              <w:t xml:space="preserve">Consumer Protection Act (“TCPA”) when </w:t>
            </w:r>
            <w:proofErr w:type="spellStart"/>
            <w:r w:rsidRPr="007D3598">
              <w:rPr>
                <w:rFonts w:ascii="Courier New" w:hAnsi="Courier New" w:cs="Courier New"/>
                <w:sz w:val="20"/>
                <w:szCs w:val="20"/>
              </w:rPr>
              <w:t>Monitronics</w:t>
            </w:r>
            <w:proofErr w:type="spellEnd"/>
            <w:r w:rsidRPr="007D3598">
              <w:rPr>
                <w:rFonts w:ascii="Courier New" w:hAnsi="Courier New" w:cs="Courier New"/>
                <w:sz w:val="20"/>
                <w:szCs w:val="20"/>
              </w:rPr>
              <w:t>, its Authorized Dealers, or an Authorized Dealer’s lead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>generator or sub-dealer made telemarketing calls to cell phones through the use of an automatic telephone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>dialing system</w:t>
            </w:r>
            <w:r w:rsidR="00180C70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 xml:space="preserve"> or an artificial or prerecorded voice</w:t>
            </w:r>
            <w:r w:rsidR="00180C7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>to residential phones through the use of an artificial 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 xml:space="preserve">prerecorded voice, and to telephone numbers that were listed on the National Do-Not-Call Registry. The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Plaintiffs further allege 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 xml:space="preserve">that </w:t>
            </w:r>
            <w:proofErr w:type="spellStart"/>
            <w:r w:rsidRPr="007D3598">
              <w:rPr>
                <w:rFonts w:ascii="Courier New" w:hAnsi="Courier New" w:cs="Courier New"/>
                <w:sz w:val="20"/>
                <w:szCs w:val="20"/>
              </w:rPr>
              <w:t>Monitronics</w:t>
            </w:r>
            <w:proofErr w:type="spellEnd"/>
            <w:r w:rsidRPr="007D3598">
              <w:rPr>
                <w:rFonts w:ascii="Courier New" w:hAnsi="Courier New" w:cs="Courier New"/>
                <w:sz w:val="20"/>
                <w:szCs w:val="20"/>
              </w:rPr>
              <w:t>, its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>Authorized Dealers, or an Authorized Dealer’s lead generator 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D3598">
              <w:rPr>
                <w:rFonts w:ascii="Courier New" w:hAnsi="Courier New" w:cs="Courier New"/>
                <w:sz w:val="20"/>
                <w:szCs w:val="20"/>
              </w:rPr>
              <w:t>sub-dealer did not have the recipients’ permission to make these calls.</w:t>
            </w:r>
          </w:p>
          <w:p w:rsidR="002C580D" w:rsidRPr="007D3598" w:rsidRDefault="002C580D" w:rsidP="002C580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2C580D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 call, fax or e-mail:</w:t>
            </w: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Bailey &amp; Glasser, LLP</w:t>
            </w: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Jonathan R. Marshall</w:t>
            </w: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209 Capitol Street</w:t>
            </w: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Charleston, WV 25301</w:t>
            </w: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304 345-6555 (Ph.)</w:t>
            </w: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304 342-1110 (Fax)</w:t>
            </w: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4758BC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hyperlink r:id="rId13" w:history="1">
              <w:r w:rsidR="002C580D" w:rsidRPr="00854B9E">
                <w:rPr>
                  <w:rStyle w:val="Hyperlink"/>
                  <w:rFonts w:ascii="Courier New" w:hAnsi="Courier New" w:cs="Courier New"/>
                  <w:b/>
                  <w:noProof/>
                  <w:sz w:val="20"/>
                  <w:szCs w:val="20"/>
                </w:rPr>
                <w:t>Jmarshall@baileyglasser.com</w:t>
              </w:r>
            </w:hyperlink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9-8-2017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15-CV-04198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(N.D. Ga.)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Sharon Crosby v. Core-Mark Distributors, I</w:t>
            </w:r>
            <w:r w:rsidR="007C01AD">
              <w:rPr>
                <w:rFonts w:ascii="Courier New" w:hAnsi="Courier New" w:cs="Courier New"/>
                <w:b/>
                <w:sz w:val="20"/>
                <w:szCs w:val="20"/>
              </w:rPr>
              <w:t>nc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  <w:p w:rsidR="002C580D" w:rsidRDefault="002C580D" w:rsidP="002C580D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9F7C87">
              <w:rPr>
                <w:rFonts w:ascii="Courier New" w:hAnsi="Courier New" w:cs="Courier New"/>
                <w:sz w:val="20"/>
                <w:szCs w:val="20"/>
              </w:rPr>
              <w:t xml:space="preserve">Plaintiff alleges that Defendant failed to provide </w:t>
            </w:r>
            <w:r w:rsidR="00180C70">
              <w:rPr>
                <w:rFonts w:ascii="Courier New" w:hAnsi="Courier New" w:cs="Courier New"/>
                <w:sz w:val="20"/>
                <w:szCs w:val="20"/>
              </w:rPr>
              <w:t xml:space="preserve">copies of </w:t>
            </w:r>
            <w:r w:rsidRPr="009F7C87">
              <w:rPr>
                <w:rFonts w:ascii="Courier New" w:hAnsi="Courier New" w:cs="Courier New"/>
                <w:sz w:val="20"/>
                <w:szCs w:val="20"/>
              </w:rPr>
              <w:t xml:space="preserve">consumer reports to Class Members prior to taking adverse action against them in violation of 15 U.S.C. </w:t>
            </w:r>
            <w:r w:rsidRPr="009F7C87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9F7C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C01AD" w:rsidRPr="009F7C87">
              <w:rPr>
                <w:rFonts w:ascii="Courier New" w:hAnsi="Courier New" w:cs="Courier New"/>
                <w:sz w:val="20"/>
                <w:szCs w:val="20"/>
              </w:rPr>
              <w:t>1681b (</w:t>
            </w:r>
            <w:r w:rsidR="007C01AD">
              <w:rPr>
                <w:rFonts w:ascii="Courier New" w:hAnsi="Courier New" w:cs="Courier New"/>
                <w:sz w:val="20"/>
                <w:szCs w:val="20"/>
              </w:rPr>
              <w:t>b</w:t>
            </w:r>
            <w:proofErr w:type="gramStart"/>
            <w:r w:rsidR="007C01AD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7C01AD" w:rsidRPr="009F7C8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9F7C87">
              <w:rPr>
                <w:rFonts w:ascii="Courier New" w:hAnsi="Courier New" w:cs="Courier New"/>
                <w:sz w:val="20"/>
                <w:szCs w:val="20"/>
              </w:rPr>
              <w:t>3)(A)(</w:t>
            </w:r>
            <w:proofErr w:type="spellStart"/>
            <w:r w:rsidRPr="009F7C87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 w:rsidRPr="009F7C87">
              <w:rPr>
                <w:rFonts w:ascii="Courier New" w:hAnsi="Courier New" w:cs="Courier New"/>
                <w:sz w:val="20"/>
                <w:szCs w:val="20"/>
              </w:rPr>
              <w:t>); and, failed to provide individuals with a written description of their rights under the F</w:t>
            </w:r>
            <w:r w:rsidR="00180C70">
              <w:rPr>
                <w:rFonts w:ascii="Courier New" w:hAnsi="Courier New" w:cs="Courier New"/>
                <w:sz w:val="20"/>
                <w:szCs w:val="20"/>
              </w:rPr>
              <w:t xml:space="preserve">air </w:t>
            </w:r>
            <w:r w:rsidRPr="009F7C87"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="00180C70">
              <w:rPr>
                <w:rFonts w:ascii="Courier New" w:hAnsi="Courier New" w:cs="Courier New"/>
                <w:sz w:val="20"/>
                <w:szCs w:val="20"/>
              </w:rPr>
              <w:t xml:space="preserve">redit </w:t>
            </w:r>
            <w:r w:rsidRPr="009F7C87"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="00180C70">
              <w:rPr>
                <w:rFonts w:ascii="Courier New" w:hAnsi="Courier New" w:cs="Courier New"/>
                <w:sz w:val="20"/>
                <w:szCs w:val="20"/>
              </w:rPr>
              <w:t xml:space="preserve">eporting </w:t>
            </w:r>
            <w:r w:rsidRPr="009F7C87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="005276A9">
              <w:rPr>
                <w:rFonts w:ascii="Courier New" w:hAnsi="Courier New" w:cs="Courier New"/>
                <w:sz w:val="20"/>
                <w:szCs w:val="20"/>
              </w:rPr>
              <w:t>ct</w:t>
            </w:r>
            <w:r w:rsidRPr="009F7C87">
              <w:rPr>
                <w:rFonts w:ascii="Courier New" w:hAnsi="Courier New" w:cs="Courier New"/>
                <w:sz w:val="20"/>
                <w:szCs w:val="20"/>
              </w:rPr>
              <w:t xml:space="preserve"> prior to taking adverse action against them in violation of 15 U.S.C. </w:t>
            </w:r>
            <w:r w:rsidRPr="009F7C87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9F7C87">
              <w:rPr>
                <w:rFonts w:ascii="Courier New" w:hAnsi="Courier New" w:cs="Courier New"/>
                <w:sz w:val="20"/>
                <w:szCs w:val="20"/>
              </w:rPr>
              <w:t xml:space="preserve"> 1681b(b)(3)(A)(ii).</w:t>
            </w:r>
          </w:p>
          <w:p w:rsidR="007C01AD" w:rsidRPr="009F7C87" w:rsidRDefault="007C01AD" w:rsidP="002C580D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or call: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9F7C87" w:rsidRDefault="002C580D" w:rsidP="009F7C87">
            <w:pPr>
              <w:pStyle w:val="Defaul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7C87">
              <w:rPr>
                <w:rFonts w:ascii="Courier New" w:hAnsi="Courier New" w:cs="Courier New"/>
                <w:b/>
                <w:sz w:val="16"/>
                <w:szCs w:val="16"/>
              </w:rPr>
              <w:t xml:space="preserve">James A. Francis </w:t>
            </w:r>
          </w:p>
          <w:p w:rsidR="002C580D" w:rsidRPr="009F7C87" w:rsidRDefault="002C580D" w:rsidP="009F7C87">
            <w:pPr>
              <w:pStyle w:val="Defaul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7C87">
              <w:rPr>
                <w:rFonts w:ascii="Courier New" w:hAnsi="Courier New" w:cs="Courier New"/>
                <w:b/>
                <w:sz w:val="16"/>
                <w:szCs w:val="16"/>
              </w:rPr>
              <w:t xml:space="preserve">FRANCIS &amp; MAILMAN, P.C. </w:t>
            </w:r>
          </w:p>
          <w:p w:rsidR="002C580D" w:rsidRPr="009F7C87" w:rsidRDefault="002C580D" w:rsidP="009F7C87">
            <w:pPr>
              <w:pStyle w:val="Defaul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7C87">
              <w:rPr>
                <w:rFonts w:ascii="Courier New" w:hAnsi="Courier New" w:cs="Courier New"/>
                <w:b/>
                <w:sz w:val="16"/>
                <w:szCs w:val="16"/>
              </w:rPr>
              <w:t>Land Title Building</w:t>
            </w:r>
          </w:p>
          <w:p w:rsidR="002C580D" w:rsidRPr="009F7C87" w:rsidRDefault="002C580D" w:rsidP="009F7C87">
            <w:pPr>
              <w:pStyle w:val="Defaul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7C87">
              <w:rPr>
                <w:rFonts w:ascii="Courier New" w:hAnsi="Courier New" w:cs="Courier New"/>
                <w:b/>
                <w:sz w:val="16"/>
                <w:szCs w:val="16"/>
              </w:rPr>
              <w:t xml:space="preserve">Suite 1902 </w:t>
            </w:r>
          </w:p>
          <w:p w:rsidR="002C580D" w:rsidRPr="009F7C87" w:rsidRDefault="002C580D" w:rsidP="009F7C87">
            <w:pPr>
              <w:pStyle w:val="Defaul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7C87">
              <w:rPr>
                <w:rFonts w:ascii="Courier New" w:hAnsi="Courier New" w:cs="Courier New"/>
                <w:b/>
                <w:sz w:val="16"/>
                <w:szCs w:val="16"/>
              </w:rPr>
              <w:t xml:space="preserve">100 South Broad Street </w:t>
            </w:r>
          </w:p>
          <w:p w:rsidR="002C580D" w:rsidRPr="009F7C87" w:rsidRDefault="002C580D" w:rsidP="009F7C87">
            <w:pPr>
              <w:pStyle w:val="Defaul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7C87">
              <w:rPr>
                <w:rFonts w:ascii="Courier New" w:hAnsi="Courier New" w:cs="Courier New"/>
                <w:b/>
                <w:sz w:val="16"/>
                <w:szCs w:val="16"/>
              </w:rPr>
              <w:t xml:space="preserve">Philadelphia, PA 19110 </w:t>
            </w:r>
          </w:p>
          <w:p w:rsidR="002C580D" w:rsidRPr="009F7C87" w:rsidRDefault="002C580D" w:rsidP="009F7C87">
            <w:pPr>
              <w:pStyle w:val="PlainText"/>
              <w:jc w:val="left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2C580D" w:rsidRPr="009F7C87" w:rsidRDefault="002C580D" w:rsidP="009F7C87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9F7C87">
              <w:rPr>
                <w:rFonts w:ascii="Courier New" w:hAnsi="Courier New" w:cs="Courier New"/>
                <w:b/>
                <w:sz w:val="16"/>
                <w:szCs w:val="16"/>
              </w:rPr>
              <w:t xml:space="preserve">215 735-6000 (Ph.) 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9-11-2017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15-MD-2599</w:t>
            </w: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14-CV-24009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 Fla.)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In re: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Takata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Airbag Products </w:t>
            </w:r>
            <w:r w:rsidR="007C01AD" w:rsidRPr="007C01AD">
              <w:rPr>
                <w:rFonts w:ascii="Courier New" w:hAnsi="Courier New" w:cs="Courier New"/>
                <w:b/>
                <w:sz w:val="20"/>
                <w:szCs w:val="20"/>
              </w:rPr>
              <w:t>Liabi</w:t>
            </w:r>
            <w:r w:rsidR="00C14AE7" w:rsidRPr="007C01AD">
              <w:rPr>
                <w:rFonts w:ascii="Courier New" w:hAnsi="Courier New" w:cs="Courier New"/>
                <w:b/>
                <w:sz w:val="20"/>
                <w:szCs w:val="20"/>
              </w:rPr>
              <w:t>lity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Litigation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Re Defendants: Honda Motor Co., Ltd., American Honda Motor Co., Inc., Honda of America Mfg., Inc., and Honda R&amp;D Co., Ltd.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 </w:t>
            </w:r>
            <w:r w:rsidRPr="00BE2A38">
              <w:rPr>
                <w:rFonts w:ascii="Courier New" w:hAnsi="Courier New" w:cs="Courier New"/>
                <w:sz w:val="20"/>
                <w:szCs w:val="20"/>
              </w:rPr>
              <w:t>alleges that certain automotive companies, including Honda, manufactured,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BE2A38">
              <w:rPr>
                <w:rFonts w:ascii="Courier New" w:hAnsi="Courier New" w:cs="Courier New"/>
                <w:sz w:val="20"/>
                <w:szCs w:val="20"/>
              </w:rPr>
              <w:t xml:space="preserve">distributed, or sold certain vehicles containing allegedly defective </w:t>
            </w:r>
            <w:proofErr w:type="spellStart"/>
            <w:r w:rsidRPr="00BE2A38">
              <w:rPr>
                <w:rFonts w:ascii="Courier New" w:hAnsi="Courier New" w:cs="Courier New"/>
                <w:sz w:val="20"/>
                <w:szCs w:val="20"/>
              </w:rPr>
              <w:t>Takata</w:t>
            </w:r>
            <w:proofErr w:type="spellEnd"/>
            <w:r w:rsidRPr="00BE2A38">
              <w:rPr>
                <w:rFonts w:ascii="Courier New" w:hAnsi="Courier New" w:cs="Courier New"/>
                <w:sz w:val="20"/>
                <w:szCs w:val="20"/>
              </w:rPr>
              <w:t xml:space="preserve"> airbag</w:t>
            </w: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BE2A38">
              <w:rPr>
                <w:rFonts w:ascii="Courier New" w:hAnsi="Courier New" w:cs="Courier New"/>
                <w:sz w:val="20"/>
                <w:szCs w:val="20"/>
              </w:rPr>
              <w:t xml:space="preserve">inflators manufactured by Defendants </w:t>
            </w:r>
            <w:proofErr w:type="spellStart"/>
            <w:r w:rsidRPr="00BE2A38">
              <w:rPr>
                <w:rFonts w:ascii="Courier New" w:hAnsi="Courier New" w:cs="Courier New"/>
                <w:sz w:val="20"/>
                <w:szCs w:val="20"/>
              </w:rPr>
              <w:t>Takata</w:t>
            </w:r>
            <w:proofErr w:type="spellEnd"/>
            <w:r w:rsidRPr="00BE2A38">
              <w:rPr>
                <w:rFonts w:ascii="Courier New" w:hAnsi="Courier New" w:cs="Courier New"/>
                <w:sz w:val="20"/>
                <w:szCs w:val="20"/>
              </w:rPr>
              <w:t xml:space="preserve"> Corporation and TK Holdings, Inc. that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E2A38">
              <w:rPr>
                <w:rFonts w:ascii="Courier New" w:hAnsi="Courier New" w:cs="Courier New"/>
                <w:sz w:val="20"/>
                <w:szCs w:val="20"/>
              </w:rPr>
              <w:t>allegedly could, upon deployment, rupture and expel debris or shrapnel into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E2A38">
              <w:rPr>
                <w:rFonts w:ascii="Courier New" w:hAnsi="Courier New" w:cs="Courier New"/>
                <w:sz w:val="20"/>
                <w:szCs w:val="20"/>
              </w:rPr>
              <w:t>occupant compartment and/or otherwise affect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E2A38">
              <w:rPr>
                <w:rFonts w:ascii="Courier New" w:hAnsi="Courier New" w:cs="Courier New"/>
                <w:sz w:val="20"/>
                <w:szCs w:val="20"/>
              </w:rPr>
              <w:t>airbag’s deployment, and that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E2A38">
              <w:rPr>
                <w:rFonts w:ascii="Courier New" w:hAnsi="Courier New" w:cs="Courier New"/>
                <w:sz w:val="20"/>
                <w:szCs w:val="20"/>
              </w:rPr>
              <w:t>plaintiffs sustained economic losses as a result thereof.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2-7-2018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 call or e-mail: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Peter Prieto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PODHURST ORSECK, P.A.</w:t>
            </w: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SunTrust International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 xml:space="preserve"> Center</w:t>
            </w: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 xml:space="preserve">One S.E. 3rd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Avenue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Suite 2700</w:t>
            </w: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Miami, Florida 33131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30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 xml:space="preserve"> 358-2800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(Ph.)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2C580D" w:rsidRDefault="004758BC" w:rsidP="00BE2A38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hyperlink r:id="rId14" w:history="1">
              <w:r w:rsidR="002C580D" w:rsidRPr="00854B9E">
                <w:rPr>
                  <w:rStyle w:val="Hyperlink"/>
                  <w:rFonts w:ascii="Courier New" w:hAnsi="Courier New" w:cs="Courier New"/>
                  <w:b/>
                  <w:sz w:val="16"/>
                  <w:szCs w:val="16"/>
                </w:rPr>
                <w:t>pprieto@podhurst.com</w:t>
              </w:r>
            </w:hyperlink>
          </w:p>
          <w:p w:rsidR="002C580D" w:rsidRDefault="002C580D" w:rsidP="00BE2A3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9-11-2017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16-CV-01678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 Wis.)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George et al. v. CNH Health &amp; Welfare Benefit Plan et al.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Blue Cross Blue Shield of Wisconsin d/b/a Anthem Blue Cross and Blue Shield, CNH Health &amp; </w:t>
            </w:r>
            <w:r w:rsidR="00254AC7">
              <w:rPr>
                <w:rFonts w:ascii="Courier New" w:hAnsi="Courier New" w:cs="Courier New"/>
                <w:b/>
                <w:sz w:val="20"/>
                <w:szCs w:val="20"/>
              </w:rPr>
              <w:t>W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elfare Plan n/k/a CNH Industrial U.S. Health &amp; Welfare Plan, CNH Employee Group Insurance Plan (effective 1-1-2009) (the “CNH Plan”), and Case New Holland, Inc., n/k/a Case New Holland Industrial, Inc., (“CNH”) (collectively, the “Defendants”)</w:t>
            </w:r>
          </w:p>
          <w:p w:rsidR="002C580D" w:rsidRPr="00D358E6" w:rsidRDefault="002C580D" w:rsidP="00D358E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Plaintiffs allege </w:t>
            </w:r>
            <w:r w:rsidRPr="00D358E6">
              <w:rPr>
                <w:rFonts w:ascii="Courier New" w:hAnsi="Courier New" w:cs="Courier New"/>
                <w:sz w:val="20"/>
                <w:szCs w:val="20"/>
              </w:rPr>
              <w:t>that Defendants underpaid claims for medical services rendered by Out-Of-Network Providers, i.e., physicians and other healthcare practitioners who at the time of the service did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58E6">
              <w:rPr>
                <w:rFonts w:ascii="Courier New" w:hAnsi="Courier New" w:cs="Courier New"/>
                <w:sz w:val="20"/>
                <w:szCs w:val="20"/>
              </w:rPr>
              <w:t>not participate in the participating provider network(s) under the terms and conditions of the CNH Plan.</w:t>
            </w:r>
          </w:p>
          <w:p w:rsidR="002C580D" w:rsidRPr="00D358E6" w:rsidRDefault="002C580D" w:rsidP="00D358E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D358E6">
              <w:rPr>
                <w:rFonts w:ascii="Courier New" w:hAnsi="Courier New" w:cs="Courier New"/>
                <w:sz w:val="20"/>
                <w:szCs w:val="20"/>
              </w:rPr>
              <w:t>Plaintiffs challenge Defendants’ use of a Medicare-based methodology to determine the amount of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58E6">
              <w:rPr>
                <w:rFonts w:ascii="Courier New" w:hAnsi="Courier New" w:cs="Courier New"/>
                <w:sz w:val="20"/>
                <w:szCs w:val="20"/>
              </w:rPr>
              <w:t>reimbursement allowed under the CNH Plan for professional medical services provided by Out-of</w:t>
            </w:r>
            <w:r w:rsidR="005276A9">
              <w:rPr>
                <w:rFonts w:ascii="Courier New" w:hAnsi="Courier New" w:cs="Courier New"/>
                <w:sz w:val="20"/>
                <w:szCs w:val="20"/>
              </w:rPr>
              <w:t>-Network Providers, alleging this</w:t>
            </w:r>
            <w:r w:rsidRPr="00D358E6">
              <w:rPr>
                <w:rFonts w:ascii="Courier New" w:hAnsi="Courier New" w:cs="Courier New"/>
                <w:sz w:val="20"/>
                <w:szCs w:val="20"/>
              </w:rPr>
              <w:t xml:space="preserve"> methodology is contrary to applicable provisions of the CNH Plan.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58E6">
              <w:rPr>
                <w:rFonts w:ascii="Courier New" w:hAnsi="Courier New" w:cs="Courier New"/>
                <w:sz w:val="20"/>
                <w:szCs w:val="20"/>
              </w:rPr>
              <w:t>Plaintiffs allege that participants are harmed when the use of the Medicare-based methodology results in</w:t>
            </w:r>
          </w:p>
          <w:p w:rsidR="002C580D" w:rsidRDefault="002C580D" w:rsidP="00D358E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D358E6">
              <w:rPr>
                <w:rFonts w:ascii="Courier New" w:hAnsi="Courier New" w:cs="Courier New"/>
                <w:sz w:val="20"/>
                <w:szCs w:val="20"/>
              </w:rPr>
              <w:t>underpayment of benefits under the CNH Plan, and that they have legal claims under the Employee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58E6">
              <w:rPr>
                <w:rFonts w:ascii="Courier New" w:hAnsi="Courier New" w:cs="Courier New"/>
                <w:sz w:val="20"/>
                <w:szCs w:val="20"/>
              </w:rPr>
              <w:t xml:space="preserve">Retirement Income Security Act of 1974, codified in part at 29 U.S.C. </w:t>
            </w:r>
            <w:r w:rsidRPr="00D358E6">
              <w:rPr>
                <w:rFonts w:cstheme="minorHAnsi"/>
                <w:sz w:val="20"/>
                <w:szCs w:val="20"/>
              </w:rPr>
              <w:t>§</w:t>
            </w:r>
            <w:r w:rsidRPr="00D358E6">
              <w:rPr>
                <w:rFonts w:ascii="Courier New" w:hAnsi="Courier New" w:cs="Courier New"/>
                <w:sz w:val="20"/>
                <w:szCs w:val="20"/>
              </w:rPr>
              <w:t xml:space="preserve"> 1132 (“ERISA”).</w:t>
            </w:r>
          </w:p>
          <w:p w:rsidR="002C580D" w:rsidRPr="00D358E6" w:rsidRDefault="002C580D" w:rsidP="00D358E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 call, fax or e-mail:</w:t>
            </w:r>
          </w:p>
          <w:p w:rsidR="00254AC7" w:rsidRDefault="00254AC7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 xml:space="preserve">Douglas P. </w:t>
            </w:r>
            <w:proofErr w:type="spellStart"/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Dehler</w:t>
            </w:r>
            <w:proofErr w:type="spellEnd"/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Christa Wittenberg</w:t>
            </w: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O’NEIL CANNON HOLLMAN DEJONG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&amp; LAING, S.C.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111 East Wisconsin Avenue</w:t>
            </w: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>Milwaukee, WI 53202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414</w:t>
            </w: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 xml:space="preserve"> 276-5000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(Ph.)</w:t>
            </w: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2C580D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414</w:t>
            </w:r>
            <w:r w:rsidRPr="00BE2A38">
              <w:rPr>
                <w:rFonts w:ascii="Courier New" w:hAnsi="Courier New" w:cs="Courier New"/>
                <w:b/>
                <w:sz w:val="16"/>
                <w:szCs w:val="16"/>
              </w:rPr>
              <w:t xml:space="preserve"> 276-6581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(Fax)</w:t>
            </w:r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2C580D" w:rsidRDefault="004758BC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hyperlink r:id="rId15" w:history="1">
              <w:r w:rsidR="002C580D" w:rsidRPr="00854B9E">
                <w:rPr>
                  <w:rStyle w:val="Hyperlink"/>
                  <w:rFonts w:ascii="Courier New" w:hAnsi="Courier New" w:cs="Courier New"/>
                  <w:b/>
                  <w:sz w:val="16"/>
                  <w:szCs w:val="16"/>
                </w:rPr>
                <w:t>Doug.Dehler@wilaw.com</w:t>
              </w:r>
            </w:hyperlink>
          </w:p>
          <w:p w:rsidR="002C580D" w:rsidRPr="00BE2A38" w:rsidRDefault="002C580D" w:rsidP="00BE2A3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2C580D" w:rsidRDefault="004758BC" w:rsidP="00BE2A38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hyperlink r:id="rId16" w:history="1">
              <w:r w:rsidR="002C580D" w:rsidRPr="00854B9E">
                <w:rPr>
                  <w:rStyle w:val="Hyperlink"/>
                  <w:rFonts w:ascii="Courier New" w:hAnsi="Courier New" w:cs="Courier New"/>
                  <w:b/>
                  <w:sz w:val="16"/>
                  <w:szCs w:val="16"/>
                </w:rPr>
                <w:t>Christa.Wittenberg@wilaw.com</w:t>
              </w:r>
            </w:hyperlink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9-11-2017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17-CV-00053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 Ala.)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Family Medicine Pharmacy, LLC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Impax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Laboratories, Inc.</w:t>
            </w:r>
          </w:p>
          <w:p w:rsidR="002C580D" w:rsidRPr="00D2076B" w:rsidRDefault="002C580D" w:rsidP="00E8201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Plaintiff alleges that Defendant sent unsolicited facsimile advertisements promoting goods and/or services, without prior consent or an established business relationship, in violation of the Te</w:t>
            </w:r>
            <w:r w:rsidR="00E8201B">
              <w:rPr>
                <w:rFonts w:ascii="Courier New" w:hAnsi="Courier New" w:cs="Courier New"/>
                <w:sz w:val="20"/>
                <w:szCs w:val="20"/>
              </w:rPr>
              <w:t>lephone Consumer Protection 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47 .S.C.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227.  </w:t>
            </w: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or e-mail: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2076B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Diandra S. Debrosse-</w:t>
            </w:r>
          </w:p>
          <w:p w:rsidR="002C580D" w:rsidRPr="00D2076B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 </w:t>
            </w:r>
            <w:r w:rsidRPr="00D2076B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Zimmermann</w:t>
            </w:r>
          </w:p>
          <w:p w:rsidR="002C580D" w:rsidRPr="00D2076B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2076B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Zarzaur Mujumdar &amp; Debrosse</w:t>
            </w:r>
          </w:p>
          <w:p w:rsidR="002C580D" w:rsidRPr="00D2076B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2076B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2332 2</w:t>
            </w:r>
            <w:r w:rsidRPr="00D2076B">
              <w:rPr>
                <w:rFonts w:ascii="Courier New" w:hAnsi="Courier New" w:cs="Courier New"/>
                <w:b/>
                <w:noProof/>
                <w:sz w:val="16"/>
                <w:szCs w:val="16"/>
                <w:vertAlign w:val="superscript"/>
              </w:rPr>
              <w:t>nd</w:t>
            </w:r>
            <w:r w:rsidRPr="00D2076B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Avenue North</w:t>
            </w:r>
          </w:p>
          <w:p w:rsidR="002C580D" w:rsidRPr="00D2076B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2076B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Birmingham, Alabama 35203</w:t>
            </w:r>
          </w:p>
          <w:p w:rsidR="002C580D" w:rsidRPr="00D2076B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Pr="00D2076B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17" w:history="1">
              <w:r w:rsidR="002C580D" w:rsidRPr="00D2076B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fuli@zarzaur.com</w:t>
              </w:r>
            </w:hyperlink>
          </w:p>
          <w:p w:rsidR="002C580D" w:rsidRPr="00D2076B" w:rsidRDefault="002C580D" w:rsidP="00D207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9-11-2017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16-CV-00216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(W.D. Wash.)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In re: CTI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BioPharma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Corp. Securities Litigation</w:t>
            </w:r>
          </w:p>
          <w:p w:rsidR="002C580D" w:rsidRDefault="002C580D" w:rsidP="002777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27777F">
              <w:rPr>
                <w:rFonts w:ascii="Courier New" w:hAnsi="Courier New" w:cs="Courier New"/>
                <w:sz w:val="20"/>
                <w:szCs w:val="20"/>
              </w:rPr>
              <w:t>Plaintiffs allege that Defendants made material misstatements and misleading omissions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276A9">
              <w:rPr>
                <w:rFonts w:ascii="Courier New" w:hAnsi="Courier New" w:cs="Courier New"/>
                <w:sz w:val="20"/>
                <w:szCs w:val="20"/>
              </w:rPr>
              <w:t xml:space="preserve">about </w:t>
            </w:r>
            <w:proofErr w:type="spellStart"/>
            <w:r w:rsidR="005276A9">
              <w:rPr>
                <w:rFonts w:ascii="Courier New" w:hAnsi="Courier New" w:cs="Courier New"/>
                <w:sz w:val="20"/>
                <w:szCs w:val="20"/>
              </w:rPr>
              <w:t>pacritinib</w:t>
            </w:r>
            <w:proofErr w:type="spellEnd"/>
            <w:r w:rsidR="005276A9">
              <w:rPr>
                <w:rFonts w:ascii="Courier New" w:hAnsi="Courier New" w:cs="Courier New"/>
                <w:sz w:val="20"/>
                <w:szCs w:val="20"/>
              </w:rPr>
              <w:t>, included</w:t>
            </w:r>
            <w:r w:rsidRPr="0027777F">
              <w:rPr>
                <w:rFonts w:ascii="Courier New" w:hAnsi="Courier New" w:cs="Courier New"/>
                <w:sz w:val="20"/>
                <w:szCs w:val="20"/>
              </w:rPr>
              <w:t xml:space="preserve"> in</w:t>
            </w:r>
            <w:r w:rsidR="005276A9">
              <w:rPr>
                <w:rFonts w:ascii="Courier New" w:hAnsi="Courier New" w:cs="Courier New"/>
                <w:sz w:val="20"/>
                <w:szCs w:val="20"/>
              </w:rPr>
              <w:t xml:space="preserve"> the</w:t>
            </w:r>
            <w:r w:rsidRPr="0027777F">
              <w:rPr>
                <w:rFonts w:ascii="Courier New" w:hAnsi="Courier New" w:cs="Courier New"/>
                <w:sz w:val="20"/>
                <w:szCs w:val="20"/>
              </w:rPr>
              <w:t xml:space="preserve"> offering documents for CTI Series N-1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Pr="0027777F">
              <w:rPr>
                <w:rFonts w:ascii="Courier New" w:hAnsi="Courier New" w:cs="Courier New"/>
                <w:sz w:val="20"/>
                <w:szCs w:val="20"/>
              </w:rPr>
              <w:t>During the Class Period, one of CTI’s drug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7777F">
              <w:rPr>
                <w:rFonts w:ascii="Courier New" w:hAnsi="Courier New" w:cs="Courier New"/>
                <w:sz w:val="20"/>
                <w:szCs w:val="20"/>
              </w:rPr>
              <w:t>candidates was “</w:t>
            </w:r>
            <w:proofErr w:type="spellStart"/>
            <w:r w:rsidRPr="0027777F">
              <w:rPr>
                <w:rFonts w:ascii="Courier New" w:hAnsi="Courier New" w:cs="Courier New"/>
                <w:sz w:val="20"/>
                <w:szCs w:val="20"/>
              </w:rPr>
              <w:t>pacritinib</w:t>
            </w:r>
            <w:proofErr w:type="spellEnd"/>
            <w:r w:rsidRPr="0027777F">
              <w:rPr>
                <w:rFonts w:ascii="Courier New" w:hAnsi="Courier New" w:cs="Courier New"/>
                <w:sz w:val="20"/>
                <w:szCs w:val="20"/>
              </w:rPr>
              <w:t>,” a treatment for myelofibrosis, a type of blood-related cancer.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Plaintiff</w:t>
            </w:r>
            <w:r w:rsidR="00E8201B">
              <w:rPr>
                <w:rFonts w:ascii="Courier New" w:hAnsi="Courier New" w:cs="Courier New"/>
                <w:sz w:val="20"/>
                <w:szCs w:val="20"/>
              </w:rPr>
              <w:t>s further allege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7777F">
              <w:rPr>
                <w:rFonts w:ascii="Courier New" w:hAnsi="Courier New" w:cs="Courier New"/>
                <w:sz w:val="20"/>
                <w:szCs w:val="20"/>
              </w:rPr>
              <w:t>that persons who purchased CTI Securities during the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7777F">
              <w:rPr>
                <w:rFonts w:ascii="Courier New" w:hAnsi="Courier New" w:cs="Courier New"/>
                <w:sz w:val="20"/>
                <w:szCs w:val="20"/>
              </w:rPr>
              <w:t>Period were injured when the truth was revealed.</w:t>
            </w:r>
          </w:p>
          <w:p w:rsidR="002C580D" w:rsidRPr="0027777F" w:rsidRDefault="002C580D" w:rsidP="002777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065AC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63A3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Bernstein </w:t>
            </w:r>
            <w:proofErr w:type="spellStart"/>
            <w:r w:rsidRPr="00463A36">
              <w:rPr>
                <w:rFonts w:ascii="Courier New" w:hAnsi="Courier New" w:cs="Courier New"/>
                <w:b/>
                <w:bCs/>
                <w:sz w:val="16"/>
                <w:szCs w:val="16"/>
              </w:rPr>
              <w:t>Litowitz</w:t>
            </w:r>
            <w:proofErr w:type="spellEnd"/>
            <w:r w:rsidRPr="00463A3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Berger &amp;</w:t>
            </w:r>
          </w:p>
          <w:p w:rsidR="002C580D" w:rsidRPr="00463A36" w:rsidRDefault="002C580D" w:rsidP="00065AC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  <w:r w:rsidRPr="00463A36">
              <w:rPr>
                <w:rFonts w:ascii="Courier New" w:hAnsi="Courier New" w:cs="Courier New"/>
                <w:b/>
                <w:bCs/>
                <w:sz w:val="16"/>
                <w:szCs w:val="16"/>
              </w:rPr>
              <w:t>Grossmann LLP</w:t>
            </w:r>
          </w:p>
          <w:p w:rsidR="002C580D" w:rsidRPr="00463A36" w:rsidRDefault="002C580D" w:rsidP="00065AC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63A36">
              <w:rPr>
                <w:rFonts w:ascii="Courier New" w:hAnsi="Courier New" w:cs="Courier New"/>
                <w:b/>
                <w:sz w:val="16"/>
                <w:szCs w:val="16"/>
              </w:rPr>
              <w:t>David R. Stickney</w:t>
            </w:r>
          </w:p>
          <w:p w:rsidR="002C580D" w:rsidRPr="00463A36" w:rsidRDefault="002C580D" w:rsidP="00065AC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63A36">
              <w:rPr>
                <w:rFonts w:ascii="Courier New" w:hAnsi="Courier New" w:cs="Courier New"/>
                <w:b/>
                <w:sz w:val="16"/>
                <w:szCs w:val="16"/>
              </w:rPr>
              <w:t>12481 High Bluff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Drive</w:t>
            </w:r>
          </w:p>
          <w:p w:rsidR="002C580D" w:rsidRPr="00463A36" w:rsidRDefault="002C580D" w:rsidP="00065AC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63A36">
              <w:rPr>
                <w:rFonts w:ascii="Courier New" w:hAnsi="Courier New" w:cs="Courier New"/>
                <w:b/>
                <w:sz w:val="16"/>
                <w:szCs w:val="16"/>
              </w:rPr>
              <w:t>Suite 300</w:t>
            </w:r>
          </w:p>
          <w:p w:rsidR="002C580D" w:rsidRPr="00463A36" w:rsidRDefault="002C580D" w:rsidP="00065AC2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463A36">
              <w:rPr>
                <w:rFonts w:ascii="Courier New" w:hAnsi="Courier New" w:cs="Courier New"/>
                <w:b/>
                <w:sz w:val="16"/>
                <w:szCs w:val="16"/>
              </w:rPr>
              <w:t>San Diego, CA 92130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9-11-2017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15-CV-01284</w:t>
            </w: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(N.D. Cal.)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Sherry Singer, et al.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Postmates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Inc.</w:t>
            </w:r>
          </w:p>
          <w:p w:rsidR="002C580D" w:rsidRDefault="002C580D" w:rsidP="009E4B3F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9E4B3F">
              <w:rPr>
                <w:rFonts w:ascii="Courier New" w:hAnsi="Courier New" w:cs="Courier New"/>
                <w:sz w:val="20"/>
                <w:szCs w:val="20"/>
              </w:rPr>
              <w:t xml:space="preserve">Plaintiffs claim they and other couriers who made deliveries using the </w:t>
            </w:r>
            <w:proofErr w:type="spellStart"/>
            <w:r w:rsidRPr="009E4B3F">
              <w:rPr>
                <w:rFonts w:ascii="Courier New" w:hAnsi="Courier New" w:cs="Courier New"/>
                <w:sz w:val="20"/>
                <w:szCs w:val="20"/>
              </w:rPr>
              <w:t>Postmates</w:t>
            </w:r>
            <w:proofErr w:type="spellEnd"/>
            <w:r w:rsidRPr="009E4B3F">
              <w:rPr>
                <w:rFonts w:ascii="Courier New" w:hAnsi="Courier New" w:cs="Courier New"/>
                <w:sz w:val="20"/>
                <w:szCs w:val="20"/>
              </w:rPr>
              <w:t xml:space="preserve"> app around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E4B3F">
              <w:rPr>
                <w:rFonts w:ascii="Courier New" w:hAnsi="Courier New" w:cs="Courier New"/>
                <w:sz w:val="20"/>
                <w:szCs w:val="20"/>
              </w:rPr>
              <w:t xml:space="preserve">country have been improperly classified as independent contractors by </w:t>
            </w:r>
            <w:proofErr w:type="spellStart"/>
            <w:r w:rsidRPr="009E4B3F">
              <w:rPr>
                <w:rFonts w:ascii="Courier New" w:hAnsi="Courier New" w:cs="Courier New"/>
                <w:sz w:val="20"/>
                <w:szCs w:val="20"/>
              </w:rPr>
              <w:t>Postmates</w:t>
            </w:r>
            <w:proofErr w:type="spellEnd"/>
            <w:r w:rsidRPr="009E4B3F">
              <w:rPr>
                <w:rFonts w:ascii="Courier New" w:hAnsi="Courier New" w:cs="Courier New"/>
                <w:sz w:val="20"/>
                <w:szCs w:val="20"/>
              </w:rPr>
              <w:t xml:space="preserve"> and have sought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E4B3F">
              <w:rPr>
                <w:rFonts w:ascii="Courier New" w:hAnsi="Courier New" w:cs="Courier New"/>
                <w:sz w:val="20"/>
                <w:szCs w:val="20"/>
              </w:rPr>
              <w:t>relief under various federal and state laws, including federal minimum wage and overtime laws,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E4B3F">
              <w:rPr>
                <w:rFonts w:ascii="Courier New" w:hAnsi="Courier New" w:cs="Courier New"/>
                <w:sz w:val="20"/>
                <w:szCs w:val="20"/>
              </w:rPr>
              <w:t xml:space="preserve">as well as the laws of California, Massachusetts, New York, D.C., as </w:t>
            </w:r>
            <w:r w:rsidR="002D323A">
              <w:rPr>
                <w:rFonts w:ascii="Courier New" w:hAnsi="Courier New" w:cs="Courier New"/>
                <w:sz w:val="20"/>
                <w:szCs w:val="20"/>
              </w:rPr>
              <w:t>well 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E4B3F">
              <w:rPr>
                <w:rFonts w:ascii="Courier New" w:hAnsi="Courier New" w:cs="Courier New"/>
                <w:sz w:val="20"/>
                <w:szCs w:val="20"/>
              </w:rPr>
              <w:t>Massachusetts expense reimbursement law. Plaintiffs have also asserted claims seeking penalties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E4B3F">
              <w:rPr>
                <w:rFonts w:ascii="Courier New" w:hAnsi="Courier New" w:cs="Courier New"/>
                <w:sz w:val="20"/>
                <w:szCs w:val="20"/>
              </w:rPr>
              <w:t>under the Private Attorne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ys General Act of 2004 </w:t>
            </w:r>
            <w:r w:rsidRPr="009E4B3F">
              <w:rPr>
                <w:rFonts w:ascii="Courier New" w:hAnsi="Courier New" w:cs="Courier New"/>
                <w:sz w:val="20"/>
                <w:szCs w:val="20"/>
              </w:rPr>
              <w:t>on behalf of California couriers.</w:t>
            </w:r>
          </w:p>
          <w:p w:rsidR="002C580D" w:rsidRPr="009E4B3F" w:rsidRDefault="002C580D" w:rsidP="009E4B3F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2-9-2018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 vist call or e-mail: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16237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Shannon Liss-Riordan</w:t>
            </w: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16237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Matthew D. Carlson</w:t>
            </w: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16237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Lichten &amp; Liss-Riordan, P.C.</w:t>
            </w: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16237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466 Geary Street</w:t>
            </w: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16237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Suite 201</w:t>
            </w: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16237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San Francisco, CA 94102</w:t>
            </w: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Pr="00A16237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18" w:history="1">
              <w:r w:rsidR="002C580D" w:rsidRPr="00A16237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www.llrlaw.com</w:t>
              </w:r>
            </w:hyperlink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16237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617 994-5800 (Ph.)</w:t>
            </w:r>
          </w:p>
          <w:p w:rsidR="002C580D" w:rsidRPr="00A16237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Pr="00A16237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19" w:history="1">
              <w:r w:rsidR="002C580D" w:rsidRPr="00A16237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scleary@llrlaw.com</w:t>
              </w:r>
            </w:hyperlink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9-13-2017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16-CV-03679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(D.N.J.)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Santos v. The Carrington Companies, LLC, et al.</w:t>
            </w:r>
          </w:p>
          <w:p w:rsidR="002C580D" w:rsidRDefault="002C580D" w:rsidP="00005615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Carrington Holding Company, LLC, Carrington Mortgage Services, LLC, Carrington Insurance Agency,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Telsi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Insurance Agency, LLC, and Carrington Real Estate Services, LLC</w:t>
            </w:r>
          </w:p>
          <w:p w:rsidR="002C580D" w:rsidRPr="00005615" w:rsidRDefault="002C580D" w:rsidP="00005615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005615">
              <w:rPr>
                <w:rFonts w:ascii="Courier New" w:hAnsi="Courier New" w:cs="Courier New"/>
                <w:sz w:val="20"/>
                <w:szCs w:val="20"/>
              </w:rPr>
              <w:t>This lawsuit involves lender-placed insurance (“LPI”), which is insurance (hazard, flood,</w:t>
            </w:r>
          </w:p>
          <w:p w:rsidR="002C580D" w:rsidRDefault="002C580D" w:rsidP="00005615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005615">
              <w:rPr>
                <w:rFonts w:ascii="Courier New" w:hAnsi="Courier New" w:cs="Courier New"/>
                <w:sz w:val="20"/>
                <w:szCs w:val="20"/>
              </w:rPr>
              <w:t>flood-gap, or wind-only) that is placed on a borrower’s property to protect the borrower and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05615">
              <w:rPr>
                <w:rFonts w:ascii="Courier New" w:hAnsi="Courier New" w:cs="Courier New"/>
                <w:sz w:val="20"/>
                <w:szCs w:val="20"/>
              </w:rPr>
              <w:t>mortgage lender when the borrower’s insurance policy lapses, or when the borrower does not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05615">
              <w:rPr>
                <w:rFonts w:ascii="Courier New" w:hAnsi="Courier New" w:cs="Courier New"/>
                <w:sz w:val="20"/>
                <w:szCs w:val="20"/>
              </w:rPr>
              <w:t>maintain a homeowner’s insurance policy that is acceptable to the mortgage lender. When an LPI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05615">
              <w:rPr>
                <w:rFonts w:ascii="Courier New" w:hAnsi="Courier New" w:cs="Courier New"/>
                <w:sz w:val="20"/>
                <w:szCs w:val="20"/>
              </w:rPr>
              <w:t xml:space="preserve">Policy is placed pursuant to the borrower’s mortgage contract, </w:t>
            </w: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Pr="00005615">
              <w:rPr>
                <w:rFonts w:ascii="Courier New" w:hAnsi="Courier New" w:cs="Courier New"/>
                <w:sz w:val="20"/>
                <w:szCs w:val="20"/>
              </w:rPr>
              <w:t>arrington pays premiums to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05615">
              <w:rPr>
                <w:rFonts w:ascii="Courier New" w:hAnsi="Courier New" w:cs="Courier New"/>
                <w:sz w:val="20"/>
                <w:szCs w:val="20"/>
              </w:rPr>
              <w:t xml:space="preserve">LPI insurer who writes the policy, and then Carrington charges the borrowers for those </w:t>
            </w:r>
            <w:r w:rsidR="002D323A">
              <w:rPr>
                <w:rFonts w:ascii="Courier New" w:hAnsi="Courier New" w:cs="Courier New"/>
                <w:sz w:val="20"/>
                <w:szCs w:val="20"/>
              </w:rPr>
              <w:t xml:space="preserve">mandatory </w:t>
            </w:r>
            <w:r w:rsidRPr="00005615">
              <w:rPr>
                <w:rFonts w:ascii="Courier New" w:hAnsi="Courier New" w:cs="Courier New"/>
                <w:sz w:val="20"/>
                <w:szCs w:val="20"/>
              </w:rPr>
              <w:t>premiums.</w:t>
            </w:r>
          </w:p>
          <w:p w:rsidR="002C580D" w:rsidRPr="00005615" w:rsidRDefault="002C580D" w:rsidP="00005615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inforamtion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005615" w:rsidRDefault="002C580D" w:rsidP="00005615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005615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Roosevelt N. Nesmith</w:t>
            </w:r>
          </w:p>
          <w:p w:rsidR="002C580D" w:rsidRPr="00005615" w:rsidRDefault="002C580D" w:rsidP="00005615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005615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Law Office of</w:t>
            </w:r>
          </w:p>
          <w:p w:rsidR="002C580D" w:rsidRPr="00005615" w:rsidRDefault="002C580D" w:rsidP="00005615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005615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Roosevelt N. Nesmith, LLC</w:t>
            </w:r>
          </w:p>
          <w:p w:rsidR="002C580D" w:rsidRDefault="002C580D" w:rsidP="00005615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363 Bloomfield Avenue</w:t>
            </w:r>
          </w:p>
          <w:p w:rsidR="002C580D" w:rsidRPr="00005615" w:rsidRDefault="002C580D" w:rsidP="00005615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005615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Suite 2</w:t>
            </w:r>
          </w:p>
          <w:p w:rsidR="002C580D" w:rsidRDefault="002C580D" w:rsidP="00005615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005615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Montclair, New Jersey 07042</w:t>
            </w: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Pr="00E8201B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Pr="00E8201B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8201B">
              <w:rPr>
                <w:rFonts w:ascii="Courier New" w:hAnsi="Courier New" w:cs="Courier New"/>
                <w:b/>
                <w:sz w:val="20"/>
                <w:szCs w:val="20"/>
              </w:rPr>
              <w:t>9-14-2017</w:t>
            </w:r>
          </w:p>
        </w:tc>
        <w:tc>
          <w:tcPr>
            <w:tcW w:w="1710" w:type="dxa"/>
          </w:tcPr>
          <w:p w:rsidR="002C580D" w:rsidRPr="00E8201B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Pr="00E8201B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8201B">
              <w:rPr>
                <w:rFonts w:ascii="Courier New" w:hAnsi="Courier New" w:cs="Courier New"/>
                <w:b/>
                <w:sz w:val="20"/>
                <w:szCs w:val="20"/>
              </w:rPr>
              <w:t>14-CV-00443</w:t>
            </w:r>
          </w:p>
        </w:tc>
        <w:tc>
          <w:tcPr>
            <w:tcW w:w="1710" w:type="dxa"/>
          </w:tcPr>
          <w:p w:rsidR="002C580D" w:rsidRPr="00E8201B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Pr="00E8201B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8201B">
              <w:rPr>
                <w:rFonts w:ascii="Courier New" w:hAnsi="Courier New" w:cs="Courier New"/>
                <w:b/>
                <w:sz w:val="20"/>
                <w:szCs w:val="20"/>
              </w:rPr>
              <w:t>(D.N.H.)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Levy v. Gutierrez, et al. GTAT Securities Litigation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Morgan Stanley &amp; Co. LLC, Goldman, Sachs &amp; Co. LLC, and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Canaccord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Genuity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Inc., (collectively “Underwriter Defendants”)</w:t>
            </w:r>
          </w:p>
          <w:p w:rsidR="002C580D" w:rsidRDefault="002C580D" w:rsidP="00783D6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783D6B">
              <w:rPr>
                <w:rFonts w:ascii="Courier New" w:hAnsi="Courier New" w:cs="Courier New"/>
                <w:sz w:val="20"/>
                <w:szCs w:val="20"/>
              </w:rPr>
              <w:t>The action alleges, among other things, that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during the Class Period and/or in the offering materials for the Offerings, Defendants mislead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investors about the true nature, progress, and success of GTAT’s joint venture agreement with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Apple for the production of </w:t>
            </w:r>
            <w:r w:rsidR="002D323A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apphire material. The action further alleges that GTAT investors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suffered economic harm when the truth about the Apple agreement was revealed upon </w:t>
            </w:r>
            <w:r w:rsidR="007A7075" w:rsidRPr="00227CD3">
              <w:rPr>
                <w:rFonts w:ascii="Courier New" w:hAnsi="Courier New" w:cs="Courier New"/>
                <w:sz w:val="20"/>
                <w:szCs w:val="20"/>
              </w:rPr>
              <w:t xml:space="preserve">GT Advanced Technologies Inc. </w:t>
            </w:r>
            <w:r w:rsidRPr="00227CD3">
              <w:rPr>
                <w:rFonts w:ascii="Courier New" w:hAnsi="Courier New" w:cs="Courier New"/>
                <w:sz w:val="20"/>
                <w:szCs w:val="20"/>
              </w:rPr>
              <w:t xml:space="preserve">filing for Chapter 11 bankruptcy protection on 10-6-2014. The Complaint asserted claims under </w:t>
            </w:r>
            <w:r w:rsidRPr="00227CD3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227CD3">
              <w:rPr>
                <w:rFonts w:ascii="Courier New" w:hAnsi="Courier New" w:cs="Courier New"/>
                <w:sz w:val="20"/>
                <w:szCs w:val="20"/>
              </w:rPr>
              <w:t xml:space="preserve"> 11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 of</w:t>
            </w:r>
            <w:r w:rsidR="00227C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the Securities Act of 1933 (the “Securities Act”) against the Underwriter Defendants, the</w:t>
            </w:r>
            <w:r w:rsidR="00227C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Director Defendants, and certain of the Officer Defendants; claims under </w:t>
            </w:r>
            <w:r w:rsidRPr="00783D6B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 12(a</w:t>
            </w:r>
            <w:r w:rsidR="00EC5284" w:rsidRPr="00783D6B">
              <w:rPr>
                <w:rFonts w:ascii="Courier New" w:hAnsi="Courier New" w:cs="Courier New"/>
                <w:sz w:val="20"/>
                <w:szCs w:val="20"/>
              </w:rPr>
              <w:t>)(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2) of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Securities Act against the Underwriter Defendants; and claims under </w:t>
            </w:r>
            <w:r w:rsidRPr="00783D6B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 15 of the Securities 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against the Director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Defendants, certain of the Officer Defendants, and Apple, alleging that these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Defendants were statutory liable for false and misleading statements in the offering materials 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the Offerings. The Complaint also asserted claims under </w:t>
            </w:r>
            <w:r w:rsidRPr="00783D6B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 10(b) of the Securities Exchange Act</w:t>
            </w:r>
            <w:r w:rsidR="00227C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of 1934 (the “Exchange Act”), and Rule 10b-5 promulgated thereunder, against certain of the</w:t>
            </w:r>
            <w:r w:rsidR="00227C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Officer Defendants; and claims under </w:t>
            </w:r>
            <w:r w:rsidRPr="00783D6B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 xml:space="preserve"> 20(a) of the Exchange Act against the Officer</w:t>
            </w:r>
            <w:r w:rsidR="00227C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D6B">
              <w:rPr>
                <w:rFonts w:ascii="Courier New" w:hAnsi="Courier New" w:cs="Courier New"/>
                <w:sz w:val="20"/>
                <w:szCs w:val="20"/>
              </w:rPr>
              <w:t>Defendants and Apple.</w:t>
            </w:r>
          </w:p>
          <w:p w:rsidR="002C580D" w:rsidRDefault="002C580D" w:rsidP="00783D6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40DFF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D667C9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Bernstein Litowitz Berger</w:t>
            </w: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</w:t>
            </w:r>
          </w:p>
          <w:p w:rsidR="002C580D" w:rsidRPr="00D667C9" w:rsidRDefault="002C580D" w:rsidP="00D667C9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</w:t>
            </w: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&amp; Grossmann LLP</w:t>
            </w:r>
          </w:p>
          <w:p w:rsidR="002C580D" w:rsidRPr="00D667C9" w:rsidRDefault="002C580D" w:rsidP="00D667C9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John C. Browne</w:t>
            </w:r>
          </w:p>
          <w:p w:rsidR="002C580D" w:rsidRPr="00D667C9" w:rsidRDefault="002C580D" w:rsidP="00D667C9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1251 Avenue of the Americas</w:t>
            </w:r>
          </w:p>
          <w:p w:rsidR="002C580D" w:rsidRPr="00D667C9" w:rsidRDefault="002C580D" w:rsidP="00D667C9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44th Floor</w:t>
            </w:r>
          </w:p>
          <w:p w:rsidR="002C580D" w:rsidRDefault="002C580D" w:rsidP="00D667C9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New York, NY 10020</w:t>
            </w: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9-15-2017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12-CV-00729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(E.D.N.C.)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Speaks, et al. v. US Tobacco Cooperative</w:t>
            </w:r>
          </w:p>
          <w:p w:rsidR="002C580D" w:rsidRDefault="002C580D" w:rsidP="008A379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A379B">
              <w:rPr>
                <w:rFonts w:ascii="Courier New" w:hAnsi="Courier New" w:cs="Courier New"/>
                <w:sz w:val="20"/>
                <w:szCs w:val="20"/>
              </w:rPr>
              <w:t>The lawsuit claims, among other things, that: (1) U.S. Tobacco accumulated reserve funds over the years through members who may now claim portions of those funds; (2) the purpose for which U.S. Tobacco was created no longer exists, so it should be dissolved and its assets distributed; and (3) U.S. Tobacco acted unfairly in trying to eliminate some members’ equity interests.</w:t>
            </w:r>
          </w:p>
          <w:p w:rsidR="002C580D" w:rsidRPr="008A379B" w:rsidRDefault="002C580D" w:rsidP="008A379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1-19-2017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visit: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hyperlink r:id="rId20" w:history="1">
              <w:r w:rsidR="002C580D" w:rsidRPr="00FD3FC0">
                <w:rPr>
                  <w:rStyle w:val="Hyperlink"/>
                  <w:rFonts w:ascii="Courier New" w:hAnsi="Courier New" w:cs="Courier New"/>
                  <w:b/>
                  <w:noProof/>
                  <w:sz w:val="20"/>
                  <w:szCs w:val="20"/>
                </w:rPr>
                <w:t>WWW.FLUECUREDTOBACCOSETTLEMENT.COM</w:t>
              </w:r>
            </w:hyperlink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9-15-2017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14-CV-02516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(D. Conn.)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In re: Aggrenox Antitrust Litigation</w:t>
            </w:r>
          </w:p>
          <w:p w:rsidR="002C580D" w:rsidRDefault="002C580D" w:rsidP="004C3FF9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Boehringer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Ingelheim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Pharmaceuticals, Inc.,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Boehringer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Ingelheim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P</w:t>
            </w:r>
            <w:r w:rsidR="005C7356">
              <w:rPr>
                <w:rFonts w:ascii="Courier New" w:hAnsi="Courier New" w:cs="Courier New"/>
                <w:b/>
                <w:sz w:val="20"/>
                <w:szCs w:val="20"/>
              </w:rPr>
              <w:t>h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arma GmbH &amp; Co. KG,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Boehringer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Ingelheim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International GmbH (collectively, “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Boehringer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”),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Teva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Pharmaceuticals USA, Inc.,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Teva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Pharmaceutical Industries, Ltd., Barr Pharmaceuticals, Inc. (n/k/a/ Bar Pharmaceuticals, LLC), Barr Laboratories Inc.,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Duramed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Pharmaceuticals, Inc. (n/k/a/ Bar</w:t>
            </w:r>
            <w:r w:rsidR="005C7356">
              <w:rPr>
                <w:rFonts w:ascii="Courier New" w:hAnsi="Courier New" w:cs="Courier New"/>
                <w:b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Pharmaceuticals, LLC), Barr Laboratories Inc.,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Duramed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Pharmaceuticals, Inc.(n/k/a/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Teva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Women’s Health Inc.), and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Duramed</w:t>
            </w:r>
            <w:proofErr w:type="spellEnd"/>
            <w:r w:rsidR="005C7356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Pharmaceutical Sales Corp. (n</w:t>
            </w:r>
            <w:r w:rsidR="005C7356">
              <w:rPr>
                <w:rFonts w:ascii="Courier New" w:hAnsi="Courier New" w:cs="Courier New"/>
                <w:b/>
                <w:sz w:val="20"/>
                <w:szCs w:val="20"/>
              </w:rPr>
              <w:t xml:space="preserve">/k/a/ </w:t>
            </w:r>
            <w:proofErr w:type="spellStart"/>
            <w:r w:rsidR="005C7356">
              <w:rPr>
                <w:rFonts w:ascii="Courier New" w:hAnsi="Courier New" w:cs="Courier New"/>
                <w:b/>
                <w:sz w:val="20"/>
                <w:szCs w:val="20"/>
              </w:rPr>
              <w:t>Teva</w:t>
            </w:r>
            <w:proofErr w:type="spellEnd"/>
            <w:r w:rsidR="005C7356">
              <w:rPr>
                <w:rFonts w:ascii="Courier New" w:hAnsi="Courier New" w:cs="Courier New"/>
                <w:b/>
                <w:sz w:val="20"/>
                <w:szCs w:val="20"/>
              </w:rPr>
              <w:t xml:space="preserve"> Sales an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d Marketing, Inc.) (collectively “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Teva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”) (together, Defendants)</w:t>
            </w:r>
          </w:p>
          <w:p w:rsidR="002C580D" w:rsidRDefault="002C580D" w:rsidP="004C3FF9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4C3FF9">
              <w:rPr>
                <w:rFonts w:ascii="Courier New" w:hAnsi="Courier New" w:cs="Courier New"/>
                <w:sz w:val="20"/>
                <w:szCs w:val="20"/>
              </w:rPr>
              <w:t>Plaintiffs allege that Defendants violated federal antitrust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C3FF9">
              <w:rPr>
                <w:rFonts w:ascii="Courier New" w:hAnsi="Courier New" w:cs="Courier New"/>
                <w:sz w:val="20"/>
                <w:szCs w:val="20"/>
              </w:rPr>
              <w:t>laws by engaging in an unlawful scheme to delay or block the market entry of less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C3FF9">
              <w:rPr>
                <w:rFonts w:ascii="Courier New" w:hAnsi="Courier New" w:cs="Courier New"/>
                <w:sz w:val="20"/>
                <w:szCs w:val="20"/>
              </w:rPr>
              <w:t>expensive, generic versions of Aggrenox®. The Direct Purchaser Class Plaintiffs allege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C3FF9">
              <w:rPr>
                <w:rFonts w:ascii="Courier New" w:hAnsi="Courier New" w:cs="Courier New"/>
                <w:sz w:val="20"/>
                <w:szCs w:val="20"/>
              </w:rPr>
              <w:t xml:space="preserve">that </w:t>
            </w:r>
            <w:proofErr w:type="spellStart"/>
            <w:r w:rsidRPr="004C3FF9">
              <w:rPr>
                <w:rFonts w:ascii="Courier New" w:hAnsi="Courier New" w:cs="Courier New"/>
                <w:sz w:val="20"/>
                <w:szCs w:val="20"/>
              </w:rPr>
              <w:t>Boehringer</w:t>
            </w:r>
            <w:proofErr w:type="spellEnd"/>
            <w:r w:rsidRPr="004C3FF9">
              <w:rPr>
                <w:rFonts w:ascii="Courier New" w:hAnsi="Courier New" w:cs="Courier New"/>
                <w:sz w:val="20"/>
                <w:szCs w:val="20"/>
              </w:rPr>
              <w:t xml:space="preserve"> entered into several unlawful, non-competition agreements, or horizontal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C3FF9">
              <w:rPr>
                <w:rFonts w:ascii="Courier New" w:hAnsi="Courier New" w:cs="Courier New"/>
                <w:sz w:val="20"/>
                <w:szCs w:val="20"/>
              </w:rPr>
              <w:t>market allocation agreements, with its prospective generic competitor, Barr, whereby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C3FF9">
              <w:rPr>
                <w:rFonts w:ascii="Courier New" w:hAnsi="Courier New" w:cs="Courier New"/>
                <w:sz w:val="20"/>
                <w:szCs w:val="20"/>
              </w:rPr>
              <w:t>Boehringer</w:t>
            </w:r>
            <w:proofErr w:type="spellEnd"/>
            <w:r w:rsidRPr="004C3FF9">
              <w:rPr>
                <w:rFonts w:ascii="Courier New" w:hAnsi="Courier New" w:cs="Courier New"/>
                <w:sz w:val="20"/>
                <w:szCs w:val="20"/>
              </w:rPr>
              <w:t xml:space="preserve"> agreed to pay Barr, in exchange for agreements by Barr to delay selling its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C3FF9">
              <w:rPr>
                <w:rFonts w:ascii="Courier New" w:hAnsi="Courier New" w:cs="Courier New"/>
                <w:sz w:val="20"/>
                <w:szCs w:val="20"/>
              </w:rPr>
              <w:t>generic version of Aggrenox. After the challenged agreements were entered into, Barr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C3FF9">
              <w:rPr>
                <w:rFonts w:ascii="Courier New" w:hAnsi="Courier New" w:cs="Courier New"/>
                <w:sz w:val="20"/>
                <w:szCs w:val="20"/>
              </w:rPr>
              <w:t xml:space="preserve">was acquired by </w:t>
            </w:r>
            <w:proofErr w:type="spellStart"/>
            <w:r w:rsidRPr="004C3FF9">
              <w:rPr>
                <w:rFonts w:ascii="Courier New" w:hAnsi="Courier New" w:cs="Courier New"/>
                <w:sz w:val="20"/>
                <w:szCs w:val="20"/>
              </w:rPr>
              <w:t>Teva</w:t>
            </w:r>
            <w:proofErr w:type="spellEnd"/>
            <w:r w:rsidRPr="004C3F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C580D" w:rsidRPr="004C3FF9" w:rsidRDefault="002C580D" w:rsidP="004C3FF9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5C7356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For more information write, call fax or </w:t>
            </w:r>
            <w:r w:rsidR="002C580D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visit: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C7356">
              <w:rPr>
                <w:rFonts w:ascii="Courier New" w:hAnsi="Courier New" w:cs="Courier New"/>
                <w:b/>
                <w:sz w:val="16"/>
                <w:szCs w:val="16"/>
              </w:rPr>
              <w:t>Bruce E. Gerstein, Esq.</w:t>
            </w: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5C7356">
              <w:rPr>
                <w:rFonts w:ascii="Courier New" w:hAnsi="Courier New" w:cs="Courier New"/>
                <w:b/>
                <w:sz w:val="16"/>
                <w:szCs w:val="16"/>
              </w:rPr>
              <w:t>Garwin</w:t>
            </w:r>
            <w:proofErr w:type="spellEnd"/>
            <w:r w:rsidRPr="005C7356">
              <w:rPr>
                <w:rFonts w:ascii="Courier New" w:hAnsi="Courier New" w:cs="Courier New"/>
                <w:b/>
                <w:sz w:val="16"/>
                <w:szCs w:val="16"/>
              </w:rPr>
              <w:t xml:space="preserve"> Gerstein &amp; Fisher LLP</w:t>
            </w: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C7356">
              <w:rPr>
                <w:rFonts w:ascii="Courier New" w:hAnsi="Courier New" w:cs="Courier New"/>
                <w:b/>
                <w:sz w:val="16"/>
                <w:szCs w:val="16"/>
              </w:rPr>
              <w:t>88 Pine Street, 10th Floor</w:t>
            </w: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C7356">
              <w:rPr>
                <w:rFonts w:ascii="Courier New" w:hAnsi="Courier New" w:cs="Courier New"/>
                <w:b/>
                <w:sz w:val="16"/>
                <w:szCs w:val="16"/>
              </w:rPr>
              <w:t>New York, NY 10005</w:t>
            </w: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C7356">
              <w:rPr>
                <w:rFonts w:ascii="Courier New" w:hAnsi="Courier New" w:cs="Courier New"/>
                <w:b/>
                <w:sz w:val="16"/>
                <w:szCs w:val="16"/>
              </w:rPr>
              <w:t>212 398-0055 (Ph.)</w:t>
            </w: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C7356">
              <w:rPr>
                <w:rFonts w:ascii="Courier New" w:hAnsi="Courier New" w:cs="Courier New"/>
                <w:b/>
                <w:sz w:val="16"/>
                <w:szCs w:val="16"/>
              </w:rPr>
              <w:t>212-764-6620 (Fax)</w:t>
            </w:r>
          </w:p>
          <w:p w:rsidR="005C7356" w:rsidRPr="005C7356" w:rsidRDefault="005C7356" w:rsidP="005C7356">
            <w:pPr>
              <w:pStyle w:val="PlainText"/>
              <w:jc w:val="left"/>
              <w:rPr>
                <w:rFonts w:ascii="Courier New" w:hAnsi="Courier New" w:cs="Courier New"/>
                <w:sz w:val="16"/>
                <w:szCs w:val="16"/>
              </w:rPr>
            </w:pPr>
          </w:p>
          <w:p w:rsidR="002C580D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hyperlink r:id="rId21" w:history="1">
              <w:r w:rsidR="002C580D" w:rsidRPr="006B3F88">
                <w:rPr>
                  <w:rStyle w:val="Hyperlink"/>
                  <w:rFonts w:ascii="Courier New" w:hAnsi="Courier New" w:cs="Courier New"/>
                  <w:b/>
                  <w:noProof/>
                  <w:sz w:val="20"/>
                  <w:szCs w:val="20"/>
                </w:rPr>
                <w:t>www.garwingerstein.com</w:t>
              </w:r>
            </w:hyperlink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9-15-2017</w:t>
            </w:r>
          </w:p>
        </w:tc>
        <w:tc>
          <w:tcPr>
            <w:tcW w:w="1710" w:type="dxa"/>
          </w:tcPr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12-CV-97</w:t>
            </w:r>
          </w:p>
        </w:tc>
        <w:tc>
          <w:tcPr>
            <w:tcW w:w="1710" w:type="dxa"/>
          </w:tcPr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 Va.)</w:t>
            </w:r>
          </w:p>
        </w:tc>
        <w:tc>
          <w:tcPr>
            <w:tcW w:w="5760" w:type="dxa"/>
          </w:tcPr>
          <w:p w:rsidR="002C580D" w:rsidRDefault="002C580D" w:rsidP="00E703B2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E703B2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Tyron Henderson, et al.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CoreLogic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National Background Data, LLC, et al.</w:t>
            </w:r>
          </w:p>
          <w:p w:rsidR="002C580D" w:rsidRDefault="002C580D" w:rsidP="002C580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710B78">
              <w:rPr>
                <w:rFonts w:ascii="Courier New" w:hAnsi="Courier New" w:cs="Courier New"/>
                <w:sz w:val="20"/>
                <w:szCs w:val="20"/>
              </w:rPr>
              <w:t>Plaintiff</w:t>
            </w:r>
            <w:r>
              <w:rPr>
                <w:rFonts w:ascii="Courier New" w:hAnsi="Courier New" w:cs="Courier New"/>
                <w:sz w:val="20"/>
                <w:szCs w:val="20"/>
              </w:rPr>
              <w:t>s allege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 that </w:t>
            </w:r>
            <w:r>
              <w:rPr>
                <w:rFonts w:ascii="Courier New" w:hAnsi="Courier New" w:cs="Courier New"/>
                <w:sz w:val="20"/>
                <w:szCs w:val="20"/>
              </w:rPr>
              <w:t>Defendants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 failed to notify 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>class members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when it furnished 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 xml:space="preserve">a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>consumer report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containing adverse public record information 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 xml:space="preserve">from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>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>reseller entity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 xml:space="preserve">, and </w:t>
            </w:r>
            <w:r w:rsidR="00D02419" w:rsidRPr="00710B78">
              <w:rPr>
                <w:rFonts w:ascii="Courier New" w:hAnsi="Courier New" w:cs="Courier New"/>
                <w:sz w:val="20"/>
                <w:szCs w:val="20"/>
              </w:rPr>
              <w:t>ultimately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 resold the report to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51A8E">
              <w:rPr>
                <w:rFonts w:ascii="Courier New" w:hAnsi="Courier New" w:cs="Courier New"/>
                <w:sz w:val="20"/>
                <w:szCs w:val="20"/>
              </w:rPr>
              <w:t>a class member’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 xml:space="preserve">s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>prospective employer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51A8E">
              <w:rPr>
                <w:rFonts w:ascii="Courier New" w:hAnsi="Courier New" w:cs="Courier New"/>
                <w:sz w:val="20"/>
                <w:szCs w:val="20"/>
              </w:rPr>
              <w:t xml:space="preserve">without the required notice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>because the Defendant did not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>maintain strict procedures designed to insure that the public record information that it reported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about </w:t>
            </w:r>
            <w:r w:rsidR="005C7356">
              <w:rPr>
                <w:rFonts w:ascii="Courier New" w:hAnsi="Courier New" w:cs="Courier New"/>
                <w:sz w:val="20"/>
                <w:szCs w:val="20"/>
              </w:rPr>
              <w:t>Plaintiff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 was complete and up to date. Plaintiff alleges that this conduct was uniform as to all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 xml:space="preserve">of the class members and that it violated Section </w:t>
            </w:r>
            <w:r w:rsidR="005C7356" w:rsidRPr="00710B78">
              <w:rPr>
                <w:rFonts w:ascii="Courier New" w:hAnsi="Courier New" w:cs="Courier New"/>
                <w:sz w:val="20"/>
                <w:szCs w:val="20"/>
              </w:rPr>
              <w:t>1681k (</w:t>
            </w:r>
            <w:r w:rsidRPr="00710B78">
              <w:rPr>
                <w:rFonts w:ascii="Courier New" w:hAnsi="Courier New" w:cs="Courier New"/>
                <w:sz w:val="20"/>
                <w:szCs w:val="20"/>
              </w:rPr>
              <w:t>a).</w:t>
            </w:r>
          </w:p>
          <w:p w:rsidR="00A91382" w:rsidRPr="00CE6B55" w:rsidRDefault="00A91382" w:rsidP="002C580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1-24-2018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inforamtion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710B78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710B78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Leonard A. Bennett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710B78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Consumer Litigatio</w:t>
            </w: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n</w:t>
            </w:r>
          </w:p>
          <w:p w:rsidR="002C580D" w:rsidRPr="00710B78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 </w:t>
            </w:r>
            <w:r w:rsidRPr="00710B78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Associates, P.C.</w:t>
            </w:r>
          </w:p>
          <w:p w:rsidR="002C580D" w:rsidRPr="00710B78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710B78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763 J. Clyde Morris Blvd.</w:t>
            </w:r>
          </w:p>
          <w:p w:rsidR="002C580D" w:rsidRPr="00710B78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710B78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Suite 1A</w:t>
            </w:r>
          </w:p>
          <w:p w:rsidR="002C580D" w:rsidRPr="00710B78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710B78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Newport News, VA 23601</w:t>
            </w:r>
          </w:p>
          <w:p w:rsidR="002C580D" w:rsidRPr="00710B78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Pr="00710B78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9-15-2017</w:t>
            </w:r>
          </w:p>
        </w:tc>
        <w:tc>
          <w:tcPr>
            <w:tcW w:w="1710" w:type="dxa"/>
          </w:tcPr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15-CV-386</w:t>
            </w:r>
          </w:p>
        </w:tc>
        <w:tc>
          <w:tcPr>
            <w:tcW w:w="1710" w:type="dxa"/>
          </w:tcPr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 Va.)</w:t>
            </w:r>
          </w:p>
        </w:tc>
        <w:tc>
          <w:tcPr>
            <w:tcW w:w="5760" w:type="dxa"/>
          </w:tcPr>
          <w:p w:rsidR="002C580D" w:rsidRDefault="002C580D" w:rsidP="00E703B2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E703B2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Carolyn Witt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CoreLogic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Nation</w:t>
            </w:r>
            <w:r w:rsidR="00C14AE7">
              <w:rPr>
                <w:rFonts w:ascii="Courier New" w:hAnsi="Courier New" w:cs="Courier New"/>
                <w:b/>
                <w:sz w:val="20"/>
                <w:szCs w:val="20"/>
              </w:rPr>
              <w:t>al Background Data, LLC, et al.</w:t>
            </w:r>
          </w:p>
          <w:p w:rsidR="00C14AE7" w:rsidRPr="00C14AE7" w:rsidRDefault="00C14AE7" w:rsidP="00E703B2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C14AE7">
              <w:rPr>
                <w:rFonts w:ascii="Courier New" w:hAnsi="Courier New" w:cs="Courier New"/>
                <w:sz w:val="20"/>
                <w:szCs w:val="20"/>
              </w:rPr>
              <w:t xml:space="preserve">See </w:t>
            </w:r>
            <w:r w:rsidR="00E33232">
              <w:rPr>
                <w:rFonts w:ascii="Courier New" w:hAnsi="Courier New" w:cs="Courier New"/>
                <w:sz w:val="20"/>
                <w:szCs w:val="20"/>
              </w:rPr>
              <w:t xml:space="preserve">page 5 </w:t>
            </w:r>
            <w:r w:rsidRPr="00C14AE7">
              <w:rPr>
                <w:rFonts w:ascii="Courier New" w:hAnsi="Courier New" w:cs="Courier New"/>
                <w:sz w:val="20"/>
                <w:szCs w:val="20"/>
              </w:rPr>
              <w:t xml:space="preserve">CAFA </w:t>
            </w:r>
            <w:r w:rsidR="00475FEA">
              <w:rPr>
                <w:rFonts w:ascii="Courier New" w:hAnsi="Courier New" w:cs="Courier New"/>
                <w:sz w:val="20"/>
                <w:szCs w:val="20"/>
              </w:rPr>
              <w:t xml:space="preserve">notice </w:t>
            </w:r>
            <w:r w:rsidRPr="00C14AE7">
              <w:rPr>
                <w:rFonts w:ascii="Courier New" w:hAnsi="Courier New" w:cs="Courier New"/>
                <w:sz w:val="20"/>
                <w:szCs w:val="20"/>
              </w:rPr>
              <w:t>above for more information</w:t>
            </w:r>
            <w:r w:rsidR="00E3323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C580D" w:rsidRDefault="002C580D" w:rsidP="00E703B2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14AE7" w:rsidRDefault="00C14AE7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1-24-2018</w:t>
            </w:r>
          </w:p>
        </w:tc>
        <w:tc>
          <w:tcPr>
            <w:tcW w:w="2970" w:type="dxa"/>
          </w:tcPr>
          <w:p w:rsidR="002C580D" w:rsidRDefault="002C580D" w:rsidP="00E703B2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For more information write to:</w:t>
            </w:r>
          </w:p>
          <w:p w:rsid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93159" w:rsidRP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3159">
              <w:rPr>
                <w:rFonts w:ascii="Courier New" w:hAnsi="Courier New" w:cs="Courier New"/>
                <w:b/>
                <w:sz w:val="16"/>
                <w:szCs w:val="16"/>
              </w:rPr>
              <w:t>Leonard A. Bennett</w:t>
            </w:r>
          </w:p>
          <w:p w:rsidR="00C93159" w:rsidRP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3159">
              <w:rPr>
                <w:rFonts w:ascii="Courier New" w:hAnsi="Courier New" w:cs="Courier New"/>
                <w:b/>
                <w:sz w:val="16"/>
                <w:szCs w:val="16"/>
              </w:rPr>
              <w:t>Consumer Litigation</w:t>
            </w:r>
          </w:p>
          <w:p w:rsidR="00C93159" w:rsidRP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3159">
              <w:rPr>
                <w:rFonts w:ascii="Courier New" w:hAnsi="Courier New" w:cs="Courier New"/>
                <w:b/>
                <w:sz w:val="16"/>
                <w:szCs w:val="16"/>
              </w:rPr>
              <w:t xml:space="preserve">  Associates, P.C.</w:t>
            </w:r>
          </w:p>
          <w:p w:rsidR="00C93159" w:rsidRP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3159">
              <w:rPr>
                <w:rFonts w:ascii="Courier New" w:hAnsi="Courier New" w:cs="Courier New"/>
                <w:b/>
                <w:sz w:val="16"/>
                <w:szCs w:val="16"/>
              </w:rPr>
              <w:t>763 J. Clyde Morris Blvd.</w:t>
            </w:r>
          </w:p>
          <w:p w:rsidR="00C93159" w:rsidRP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3159">
              <w:rPr>
                <w:rFonts w:ascii="Courier New" w:hAnsi="Courier New" w:cs="Courier New"/>
                <w:b/>
                <w:sz w:val="16"/>
                <w:szCs w:val="16"/>
              </w:rPr>
              <w:t>Suite 1A</w:t>
            </w:r>
          </w:p>
          <w:p w:rsidR="00C93159" w:rsidRP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3159">
              <w:rPr>
                <w:rFonts w:ascii="Courier New" w:hAnsi="Courier New" w:cs="Courier New"/>
                <w:b/>
                <w:sz w:val="16"/>
                <w:szCs w:val="16"/>
              </w:rPr>
              <w:t>Newport News, VA 23601</w:t>
            </w:r>
          </w:p>
          <w:p w:rsidR="00C93159" w:rsidRDefault="00C93159" w:rsidP="00C93159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9-15-2017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16-CV-25237</w:t>
            </w: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 Fla.)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Strickland, et al. v. Carrington Mortgage Services, LLC, et al.</w:t>
            </w:r>
          </w:p>
          <w:p w:rsidR="005C7356" w:rsidRDefault="002C580D" w:rsidP="0038202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82024">
              <w:rPr>
                <w:rFonts w:ascii="Courier New" w:hAnsi="Courier New" w:cs="Courier New"/>
                <w:sz w:val="20"/>
                <w:szCs w:val="20"/>
              </w:rPr>
              <w:t>Plaintiffs allege that when a borrower was required to have insurance for property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>pursuant to a residential mortgage or home equity loan or line of credit, and evidence of acceptable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>coverage was not provided,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>Fay would place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 xml:space="preserve"> Lender Placed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>I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>nsurance</w:t>
            </w:r>
            <w:r w:rsidR="00D02419">
              <w:rPr>
                <w:rFonts w:ascii="Courier New" w:hAnsi="Courier New" w:cs="Courier New"/>
                <w:sz w:val="20"/>
                <w:szCs w:val="20"/>
              </w:rPr>
              <w:t xml:space="preserve"> (“LPI”)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 xml:space="preserve"> in a manner such that Fay allegedly received an unauthorized benefit.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>Plaintiffs allege further that Fay did so primarily to receive other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>consideration from the Insurer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>Defendants. Plaintiffs also allege that the way in which LPI policies were obtained and placed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2024">
              <w:rPr>
                <w:rFonts w:ascii="Courier New" w:hAnsi="Courier New" w:cs="Courier New"/>
                <w:sz w:val="20"/>
                <w:szCs w:val="20"/>
              </w:rPr>
              <w:t>caused the premiums and the amount of coverage to be excessive.</w:t>
            </w:r>
            <w:r w:rsidR="007B44A2">
              <w:rPr>
                <w:rFonts w:ascii="Courier New" w:hAnsi="Courier New" w:cs="Courier New"/>
                <w:sz w:val="20"/>
                <w:szCs w:val="20"/>
              </w:rPr>
              <w:t xml:space="preserve">  Also see</w:t>
            </w:r>
            <w:r w:rsidR="00B0618B">
              <w:rPr>
                <w:rFonts w:ascii="Courier New" w:hAnsi="Courier New" w:cs="Courier New"/>
                <w:sz w:val="20"/>
                <w:szCs w:val="20"/>
              </w:rPr>
              <w:t xml:space="preserve"> page 9</w:t>
            </w:r>
            <w:r w:rsidR="007B44A2">
              <w:rPr>
                <w:rFonts w:ascii="Courier New" w:hAnsi="Courier New" w:cs="Courier New"/>
                <w:sz w:val="20"/>
                <w:szCs w:val="20"/>
              </w:rPr>
              <w:t xml:space="preserve"> above.</w:t>
            </w:r>
          </w:p>
          <w:p w:rsidR="007B44A2" w:rsidRDefault="007B44A2" w:rsidP="0038202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B44A2" w:rsidRDefault="007B44A2" w:rsidP="0038202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Pr="00382024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382024" w:rsidRDefault="002C580D" w:rsidP="0038202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82024">
              <w:rPr>
                <w:rFonts w:ascii="Courier New" w:hAnsi="Courier New" w:cs="Courier New"/>
                <w:b/>
                <w:sz w:val="16"/>
                <w:szCs w:val="16"/>
              </w:rPr>
              <w:t>Adam M. Moskowitz</w:t>
            </w:r>
          </w:p>
          <w:p w:rsidR="002C580D" w:rsidRPr="00382024" w:rsidRDefault="002C580D" w:rsidP="0038202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382024">
              <w:rPr>
                <w:rFonts w:ascii="Courier New" w:hAnsi="Courier New" w:cs="Courier New"/>
                <w:b/>
                <w:sz w:val="16"/>
                <w:szCs w:val="16"/>
              </w:rPr>
              <w:t>Kozyak</w:t>
            </w:r>
            <w:proofErr w:type="spellEnd"/>
            <w:r w:rsidRPr="00382024">
              <w:rPr>
                <w:rFonts w:ascii="Courier New" w:hAnsi="Courier New" w:cs="Courier New"/>
                <w:b/>
                <w:sz w:val="16"/>
                <w:szCs w:val="16"/>
              </w:rPr>
              <w:t xml:space="preserve">, </w:t>
            </w:r>
            <w:proofErr w:type="spellStart"/>
            <w:r w:rsidRPr="00382024">
              <w:rPr>
                <w:rFonts w:ascii="Courier New" w:hAnsi="Courier New" w:cs="Courier New"/>
                <w:b/>
                <w:sz w:val="16"/>
                <w:szCs w:val="16"/>
              </w:rPr>
              <w:t>Tropin</w:t>
            </w:r>
            <w:proofErr w:type="spellEnd"/>
            <w:r w:rsidRPr="00382024">
              <w:rPr>
                <w:rFonts w:ascii="Courier New" w:hAnsi="Courier New" w:cs="Courier New"/>
                <w:b/>
                <w:sz w:val="16"/>
                <w:szCs w:val="16"/>
              </w:rPr>
              <w:t xml:space="preserve">, &amp; </w:t>
            </w:r>
          </w:p>
          <w:p w:rsidR="002C580D" w:rsidRPr="00382024" w:rsidRDefault="002C580D" w:rsidP="0038202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82024">
              <w:rPr>
                <w:rFonts w:ascii="Courier New" w:hAnsi="Courier New" w:cs="Courier New"/>
                <w:b/>
                <w:sz w:val="16"/>
                <w:szCs w:val="16"/>
              </w:rPr>
              <w:t xml:space="preserve"> Throckmorton, LLP</w:t>
            </w:r>
          </w:p>
          <w:p w:rsidR="00A96A4E" w:rsidRDefault="00A96A4E" w:rsidP="0038202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2525 Ponce de Leon Blvd.</w:t>
            </w:r>
          </w:p>
          <w:p w:rsidR="002C580D" w:rsidRPr="00382024" w:rsidRDefault="002C580D" w:rsidP="0038202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82024">
              <w:rPr>
                <w:rFonts w:ascii="Courier New" w:hAnsi="Courier New" w:cs="Courier New"/>
                <w:b/>
                <w:sz w:val="16"/>
                <w:szCs w:val="16"/>
              </w:rPr>
              <w:t>9th Floor</w:t>
            </w:r>
          </w:p>
          <w:p w:rsidR="002C580D" w:rsidRPr="00382024" w:rsidRDefault="002C580D" w:rsidP="00382024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382024">
              <w:rPr>
                <w:rFonts w:ascii="Courier New" w:hAnsi="Courier New" w:cs="Courier New"/>
                <w:b/>
                <w:sz w:val="16"/>
                <w:szCs w:val="16"/>
              </w:rPr>
              <w:t>Coral Gables, FL 33134</w:t>
            </w: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666326">
            <w:pPr>
              <w:pStyle w:val="PlainText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9-15-2017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13-CV-00644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 Cal.)</w:t>
            </w:r>
          </w:p>
        </w:tc>
        <w:tc>
          <w:tcPr>
            <w:tcW w:w="5760" w:type="dxa"/>
          </w:tcPr>
          <w:p w:rsidR="002C580D" w:rsidRPr="00A96A4E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color w:val="C00000"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Kellgren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et al. v. Petco Animal Supplies, Inc., et al.</w:t>
            </w:r>
          </w:p>
          <w:p w:rsidR="005E7651" w:rsidRDefault="005E7651" w:rsidP="005E7651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Re Defendants:</w:t>
            </w:r>
            <w:r>
              <w:t xml:space="preserve"> </w:t>
            </w:r>
            <w:r w:rsidRPr="005E7651">
              <w:rPr>
                <w:rFonts w:ascii="Courier New" w:hAnsi="Courier New" w:cs="Courier New"/>
                <w:b/>
                <w:sz w:val="20"/>
                <w:szCs w:val="20"/>
              </w:rPr>
              <w:t>Petco Animal Supplies, Inc., Petco Holdings, Inc., Petco Holdings, Inc. LLC, and Petco Animal Supplies Stores, Inc. (together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5E7651">
              <w:rPr>
                <w:rFonts w:ascii="Courier New" w:hAnsi="Courier New" w:cs="Courier New"/>
                <w:b/>
                <w:sz w:val="20"/>
                <w:szCs w:val="20"/>
              </w:rPr>
              <w:t>“Petco”)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5E7651" w:rsidRPr="00666326" w:rsidRDefault="002C580D" w:rsidP="005E7651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666326">
              <w:rPr>
                <w:rFonts w:ascii="Courier New" w:hAnsi="Courier New" w:cs="Courier New"/>
                <w:sz w:val="20"/>
                <w:szCs w:val="20"/>
              </w:rPr>
              <w:t>Former Petco Assistant Managers (“AMs”) sued</w:t>
            </w:r>
          </w:p>
          <w:p w:rsidR="002C580D" w:rsidRDefault="005E7651" w:rsidP="0066632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Petco</w:t>
            </w:r>
            <w:r w:rsidR="002C580D" w:rsidRPr="00666326">
              <w:rPr>
                <w:rFonts w:ascii="Courier New" w:hAnsi="Courier New" w:cs="Courier New"/>
                <w:sz w:val="20"/>
                <w:szCs w:val="20"/>
              </w:rPr>
              <w:t xml:space="preserve"> alleging that they were not paid overtime for hours worked over 40 in a workweek.</w:t>
            </w:r>
            <w:r w:rsidR="002C5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C580D" w:rsidRPr="00666326">
              <w:rPr>
                <w:rFonts w:ascii="Courier New" w:hAnsi="Courier New" w:cs="Courier New"/>
                <w:sz w:val="20"/>
                <w:szCs w:val="20"/>
              </w:rPr>
              <w:t>The AMs claim that they are owed money under the federal Fair Labor Standards Act and/or</w:t>
            </w:r>
            <w:r w:rsidR="002C5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C580D" w:rsidRPr="00666326">
              <w:rPr>
                <w:rFonts w:ascii="Courier New" w:hAnsi="Courier New" w:cs="Courier New"/>
                <w:sz w:val="20"/>
                <w:szCs w:val="20"/>
              </w:rPr>
              <w:t>the state laws of Colorado, Illinois, Massachusetts, New Jersey, New York, Oregon, and</w:t>
            </w:r>
            <w:r w:rsidR="002C5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C580D" w:rsidRPr="00666326">
              <w:rPr>
                <w:rFonts w:ascii="Courier New" w:hAnsi="Courier New" w:cs="Courier New"/>
                <w:sz w:val="20"/>
                <w:szCs w:val="20"/>
              </w:rPr>
              <w:t xml:space="preserve">Pennsylvania. </w:t>
            </w:r>
          </w:p>
          <w:p w:rsidR="002C580D" w:rsidRPr="00666326" w:rsidRDefault="002C580D" w:rsidP="00666326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or call: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bCs/>
                <w:sz w:val="16"/>
                <w:szCs w:val="16"/>
              </w:rPr>
              <w:t>HEPWORTH GERSHBAUM &amp; ROTH,</w:t>
            </w:r>
          </w:p>
          <w:p w:rsidR="002C580D" w:rsidRPr="002F712F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PLLC</w:t>
            </w:r>
          </w:p>
          <w:p w:rsidR="002C580D" w:rsidRPr="002F712F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>David A. Roth</w:t>
            </w:r>
          </w:p>
          <w:p w:rsidR="002C580D" w:rsidRPr="002F712F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>Marc Hepworth</w:t>
            </w:r>
          </w:p>
          <w:p w:rsidR="002C580D" w:rsidRPr="002F712F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 xml:space="preserve">Charles </w:t>
            </w:r>
            <w:proofErr w:type="spellStart"/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>Gershbaum</w:t>
            </w:r>
            <w:proofErr w:type="spellEnd"/>
          </w:p>
          <w:p w:rsidR="002C580D" w:rsidRPr="002F712F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 xml:space="preserve">Rebecca S. </w:t>
            </w:r>
            <w:proofErr w:type="spellStart"/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>Predovan</w:t>
            </w:r>
            <w:proofErr w:type="spellEnd"/>
          </w:p>
          <w:p w:rsidR="002C580D" w:rsidRPr="002F712F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>192 Lexington Avenue</w:t>
            </w:r>
          </w:p>
          <w:p w:rsidR="002C580D" w:rsidRPr="002F712F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>Suite 802</w:t>
            </w:r>
          </w:p>
          <w:p w:rsidR="002C580D" w:rsidRDefault="002C580D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712F">
              <w:rPr>
                <w:rFonts w:ascii="Courier New" w:hAnsi="Courier New" w:cs="Courier New"/>
                <w:b/>
                <w:sz w:val="16"/>
                <w:szCs w:val="16"/>
              </w:rPr>
              <w:t>New York, NY 10016</w:t>
            </w:r>
          </w:p>
          <w:p w:rsidR="005E7651" w:rsidRPr="002F712F" w:rsidRDefault="005E7651" w:rsidP="002F712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2C580D" w:rsidRDefault="005E7651" w:rsidP="002F712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212</w:t>
            </w:r>
            <w:r w:rsidR="002C580D" w:rsidRPr="002F712F">
              <w:rPr>
                <w:rFonts w:ascii="Courier New" w:hAnsi="Courier New" w:cs="Courier New"/>
                <w:b/>
                <w:sz w:val="16"/>
                <w:szCs w:val="16"/>
              </w:rPr>
              <w:t xml:space="preserve"> 545-1199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(Ph.)</w:t>
            </w: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9-18-2017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15-CV-12730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(D. Mass.)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In re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Asacol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Antitrust Litigation – Direct Purchaser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Allergan, Plc (f/k/a/ Actavis, Plc), Allergan, Inc., </w:t>
            </w:r>
            <w:r w:rsidR="005E7651">
              <w:rPr>
                <w:rFonts w:ascii="Courier New" w:hAnsi="Courier New" w:cs="Courier New"/>
                <w:b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llergan</w:t>
            </w:r>
            <w:r w:rsidR="005E7651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USA, Inc., Allergan Sales, LLC Warner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Chilcott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(US), LLC, and Warner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Chilcott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Sales (US), LLC </w:t>
            </w:r>
          </w:p>
          <w:p w:rsidR="002C580D" w:rsidRPr="00FB1505" w:rsidRDefault="002C580D" w:rsidP="00FB1505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FB1505">
              <w:rPr>
                <w:rFonts w:ascii="Courier New" w:hAnsi="Courier New" w:cs="Courier New"/>
                <w:sz w:val="20"/>
                <w:szCs w:val="20"/>
              </w:rPr>
              <w:t>Plaintiffs allege that the Defendants violated federal antitrust laws by unlawfully impairing the introduction of generic versions of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B1505">
              <w:rPr>
                <w:rFonts w:ascii="Courier New" w:hAnsi="Courier New" w:cs="Courier New"/>
                <w:sz w:val="20"/>
                <w:szCs w:val="20"/>
              </w:rPr>
              <w:t xml:space="preserve">the prescription drugs </w:t>
            </w:r>
            <w:proofErr w:type="spellStart"/>
            <w:r w:rsidRPr="00FB1505">
              <w:rPr>
                <w:rFonts w:ascii="Courier New" w:hAnsi="Courier New" w:cs="Courier New"/>
                <w:sz w:val="20"/>
                <w:szCs w:val="20"/>
              </w:rPr>
              <w:t>Asacol</w:t>
            </w:r>
            <w:proofErr w:type="spellEnd"/>
            <w:r w:rsidRPr="00FB1505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FB1505">
              <w:rPr>
                <w:rFonts w:ascii="Courier New" w:hAnsi="Courier New" w:cs="Courier New"/>
                <w:sz w:val="20"/>
                <w:szCs w:val="20"/>
              </w:rPr>
              <w:t>Asacol</w:t>
            </w:r>
            <w:proofErr w:type="spellEnd"/>
            <w:r w:rsidRPr="00FB1505">
              <w:rPr>
                <w:rFonts w:ascii="Courier New" w:hAnsi="Courier New" w:cs="Courier New"/>
                <w:sz w:val="20"/>
                <w:szCs w:val="20"/>
              </w:rPr>
              <w:t xml:space="preserve"> HD, and </w:t>
            </w:r>
            <w:proofErr w:type="spellStart"/>
            <w:r w:rsidRPr="00FB1505">
              <w:rPr>
                <w:rFonts w:ascii="Courier New" w:hAnsi="Courier New" w:cs="Courier New"/>
                <w:sz w:val="20"/>
                <w:szCs w:val="20"/>
              </w:rPr>
              <w:t>Delzicol</w:t>
            </w:r>
            <w:proofErr w:type="spellEnd"/>
            <w:r w:rsidRPr="00FB1505">
              <w:rPr>
                <w:rFonts w:ascii="Courier New" w:hAnsi="Courier New" w:cs="Courier New"/>
                <w:sz w:val="20"/>
                <w:szCs w:val="20"/>
              </w:rPr>
              <w:t xml:space="preserve"> into the United States market.  Plaintiffs argue that this alleged conduct suppressed or eliminated competition that the Defendants would have faced from generic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B1505">
              <w:rPr>
                <w:rFonts w:ascii="Courier New" w:hAnsi="Courier New" w:cs="Courier New"/>
                <w:sz w:val="20"/>
                <w:szCs w:val="20"/>
              </w:rPr>
              <w:t xml:space="preserve">competitors. The Plaintiffs further claim that Class Members were injured as a result of the Defendants’ acts by paying more for </w:t>
            </w:r>
            <w:proofErr w:type="spellStart"/>
            <w:r w:rsidRPr="00FB1505">
              <w:rPr>
                <w:rFonts w:ascii="Courier New" w:hAnsi="Courier New" w:cs="Courier New"/>
                <w:sz w:val="20"/>
                <w:szCs w:val="20"/>
              </w:rPr>
              <w:t>Asacol</w:t>
            </w:r>
            <w:proofErr w:type="spellEnd"/>
          </w:p>
          <w:p w:rsidR="002C580D" w:rsidRPr="00FB1505" w:rsidRDefault="002C580D" w:rsidP="00FB1505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FB1505">
              <w:rPr>
                <w:rFonts w:ascii="Courier New" w:hAnsi="Courier New" w:cs="Courier New"/>
                <w:sz w:val="20"/>
                <w:szCs w:val="20"/>
              </w:rPr>
              <w:t xml:space="preserve">HD and/or </w:t>
            </w:r>
            <w:proofErr w:type="spellStart"/>
            <w:r w:rsidRPr="00FB1505">
              <w:rPr>
                <w:rFonts w:ascii="Courier New" w:hAnsi="Courier New" w:cs="Courier New"/>
                <w:sz w:val="20"/>
                <w:szCs w:val="20"/>
              </w:rPr>
              <w:t>Delzicol</w:t>
            </w:r>
            <w:proofErr w:type="spellEnd"/>
            <w:r w:rsidRPr="00FB1505">
              <w:rPr>
                <w:rFonts w:ascii="Courier New" w:hAnsi="Courier New" w:cs="Courier New"/>
                <w:sz w:val="20"/>
                <w:szCs w:val="20"/>
              </w:rPr>
              <w:t xml:space="preserve"> than they would have paid otherwise and/or by being unable to purchase less expensive, generic versions of </w:t>
            </w:r>
            <w:proofErr w:type="spellStart"/>
            <w:r w:rsidRPr="00FB1505">
              <w:rPr>
                <w:rFonts w:ascii="Courier New" w:hAnsi="Courier New" w:cs="Courier New"/>
                <w:sz w:val="20"/>
                <w:szCs w:val="20"/>
              </w:rPr>
              <w:t>Asacol</w:t>
            </w:r>
            <w:proofErr w:type="spellEnd"/>
            <w:r w:rsidRPr="00FB150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C580D" w:rsidRDefault="002C580D" w:rsidP="00FB1505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FB1505">
              <w:rPr>
                <w:rFonts w:ascii="Courier New" w:hAnsi="Courier New" w:cs="Courier New"/>
                <w:sz w:val="20"/>
                <w:szCs w:val="20"/>
              </w:rPr>
              <w:t>Asacol</w:t>
            </w:r>
            <w:proofErr w:type="spellEnd"/>
            <w:r w:rsidRPr="00FB1505">
              <w:rPr>
                <w:rFonts w:ascii="Courier New" w:hAnsi="Courier New" w:cs="Courier New"/>
                <w:sz w:val="20"/>
                <w:szCs w:val="20"/>
              </w:rPr>
              <w:t xml:space="preserve"> HD, and/or </w:t>
            </w:r>
            <w:proofErr w:type="spellStart"/>
            <w:r w:rsidRPr="00FB1505">
              <w:rPr>
                <w:rFonts w:ascii="Courier New" w:hAnsi="Courier New" w:cs="Courier New"/>
                <w:sz w:val="20"/>
                <w:szCs w:val="20"/>
              </w:rPr>
              <w:t>Delzicol</w:t>
            </w:r>
            <w:proofErr w:type="spellEnd"/>
            <w:r w:rsidRPr="00FB1505">
              <w:rPr>
                <w:rFonts w:ascii="Courier New" w:hAnsi="Courier New" w:cs="Courier New"/>
                <w:sz w:val="20"/>
                <w:szCs w:val="20"/>
              </w:rPr>
              <w:t>. As a result, the Plaintiffs claim that Class Members were overcharg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ed for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Asacol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HD and/or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Delzicol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C580D" w:rsidRDefault="002C580D" w:rsidP="00FB1505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12-7-2017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 call or visit: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174C4E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 xml:space="preserve">Thomas M. </w:t>
            </w:r>
            <w:proofErr w:type="spellStart"/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>Sobol</w:t>
            </w:r>
            <w:proofErr w:type="spellEnd"/>
          </w:p>
          <w:p w:rsidR="002C580D" w:rsidRPr="00174C4E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 xml:space="preserve">Lauren </w:t>
            </w:r>
            <w:proofErr w:type="spellStart"/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>Guth</w:t>
            </w:r>
            <w:proofErr w:type="spellEnd"/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 xml:space="preserve"> Barnes</w:t>
            </w:r>
          </w:p>
          <w:p w:rsidR="002C580D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>Hagens</w:t>
            </w:r>
            <w:proofErr w:type="spellEnd"/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 xml:space="preserve"> Berman </w:t>
            </w:r>
            <w:proofErr w:type="spellStart"/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>Sobol</w:t>
            </w:r>
            <w:proofErr w:type="spellEnd"/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2C580D" w:rsidRPr="00174C4E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S</w:t>
            </w:r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>hapiro LLP</w:t>
            </w:r>
          </w:p>
          <w:p w:rsidR="002C580D" w:rsidRPr="00174C4E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55 Cambridge Parkway</w:t>
            </w:r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 xml:space="preserve"> Suite 301</w:t>
            </w:r>
          </w:p>
          <w:p w:rsidR="002C580D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>Cambridge, MA 02142</w:t>
            </w:r>
          </w:p>
          <w:p w:rsidR="002C580D" w:rsidRPr="00174C4E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617</w:t>
            </w:r>
            <w:r w:rsidRPr="00174C4E">
              <w:rPr>
                <w:rFonts w:ascii="Courier New" w:hAnsi="Courier New" w:cs="Courier New"/>
                <w:b/>
                <w:sz w:val="20"/>
                <w:szCs w:val="20"/>
              </w:rPr>
              <w:t xml:space="preserve"> 482-3700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(Ph.)</w:t>
            </w:r>
          </w:p>
          <w:p w:rsidR="002C580D" w:rsidRPr="00174C4E" w:rsidRDefault="002C580D" w:rsidP="00174C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4758BC" w:rsidP="00174C4E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hyperlink r:id="rId22" w:history="1">
              <w:r w:rsidR="002C580D" w:rsidRPr="00402715">
                <w:rPr>
                  <w:rStyle w:val="Hyperlink"/>
                  <w:rFonts w:ascii="Courier New" w:hAnsi="Courier New" w:cs="Courier New"/>
                  <w:b/>
                  <w:sz w:val="20"/>
                  <w:szCs w:val="20"/>
                </w:rPr>
                <w:t>www.hbsslaw.com</w:t>
              </w:r>
            </w:hyperlink>
          </w:p>
          <w:p w:rsidR="002C580D" w:rsidRPr="00174C4E" w:rsidRDefault="002C580D" w:rsidP="00174C4E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174C4E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9-18-2017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14-CV-03264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(N.D. Cal.)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In re: Capacitors Antitrust Litigation</w:t>
            </w:r>
          </w:p>
          <w:p w:rsidR="002C580D" w:rsidRDefault="002C580D" w:rsidP="00974F3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974F33">
              <w:rPr>
                <w:rFonts w:ascii="Courier New" w:hAnsi="Courier New" w:cs="Courier New"/>
                <w:sz w:val="20"/>
                <w:szCs w:val="20"/>
              </w:rPr>
              <w:t>The lawsuit alleges that Defendants and co-conspirators conspired to raise and fix the prices of Capacitors for more than ten years,</w:t>
            </w:r>
            <w:r w:rsidR="00F10B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74F33">
              <w:rPr>
                <w:rFonts w:ascii="Courier New" w:hAnsi="Courier New" w:cs="Courier New"/>
                <w:sz w:val="20"/>
                <w:szCs w:val="20"/>
              </w:rPr>
              <w:t>resulting in overcharges to indirect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74F33">
              <w:rPr>
                <w:rFonts w:ascii="Courier New" w:hAnsi="Courier New" w:cs="Courier New"/>
                <w:sz w:val="20"/>
                <w:szCs w:val="20"/>
              </w:rPr>
              <w:t>purchasers of Capacitors. The complaint describes how the Defendants and co-</w:t>
            </w: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Pr="00974F33">
              <w:rPr>
                <w:rFonts w:ascii="Courier New" w:hAnsi="Courier New" w:cs="Courier New"/>
                <w:sz w:val="20"/>
                <w:szCs w:val="20"/>
              </w:rPr>
              <w:t>onspirators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74F33">
              <w:rPr>
                <w:rFonts w:ascii="Courier New" w:hAnsi="Courier New" w:cs="Courier New"/>
                <w:sz w:val="20"/>
                <w:szCs w:val="20"/>
              </w:rPr>
              <w:t>allegedly violated the U.S. and state antitrust, unfair competition, and consumer protection laws by agreeing to fix prices and restrict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74F33">
              <w:rPr>
                <w:rFonts w:ascii="Courier New" w:hAnsi="Courier New" w:cs="Courier New"/>
                <w:sz w:val="20"/>
                <w:szCs w:val="20"/>
              </w:rPr>
              <w:t>output of Capacitors by, among other things, face-to-face meetings and other communications, customer allocation, and the use of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74F33">
              <w:rPr>
                <w:rFonts w:ascii="Courier New" w:hAnsi="Courier New" w:cs="Courier New"/>
                <w:sz w:val="20"/>
                <w:szCs w:val="20"/>
              </w:rPr>
              <w:t>trade associations.</w:t>
            </w:r>
          </w:p>
          <w:p w:rsidR="002C580D" w:rsidRPr="00974F33" w:rsidRDefault="002C580D" w:rsidP="00974F3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Pr="004049E9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4049E9" w:rsidRDefault="002C580D" w:rsidP="004049E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>Steven N. Williams</w:t>
            </w:r>
          </w:p>
          <w:p w:rsidR="002C580D" w:rsidRPr="004049E9" w:rsidRDefault="002C580D" w:rsidP="004049E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>Cotchett</w:t>
            </w:r>
            <w:proofErr w:type="spellEnd"/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 xml:space="preserve">, </w:t>
            </w:r>
            <w:proofErr w:type="spellStart"/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>Pitre</w:t>
            </w:r>
            <w:proofErr w:type="spellEnd"/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 xml:space="preserve"> &amp; </w:t>
            </w:r>
          </w:p>
          <w:p w:rsidR="002C580D" w:rsidRPr="004049E9" w:rsidRDefault="002C580D" w:rsidP="004049E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 xml:space="preserve"> McCarthy, LLP</w:t>
            </w:r>
          </w:p>
          <w:p w:rsidR="002C580D" w:rsidRPr="004049E9" w:rsidRDefault="002C580D" w:rsidP="004049E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>San Francisco Airport</w:t>
            </w:r>
          </w:p>
          <w:p w:rsidR="002C580D" w:rsidRPr="004049E9" w:rsidRDefault="002C580D" w:rsidP="004049E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 xml:space="preserve"> Office Center</w:t>
            </w:r>
          </w:p>
          <w:p w:rsidR="002C580D" w:rsidRPr="004049E9" w:rsidRDefault="002C580D" w:rsidP="004049E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>840 Malcolm Road</w:t>
            </w:r>
          </w:p>
          <w:p w:rsidR="002C580D" w:rsidRPr="004049E9" w:rsidRDefault="002C580D" w:rsidP="004049E9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>Suite 200</w:t>
            </w:r>
          </w:p>
          <w:p w:rsidR="002C580D" w:rsidRDefault="002C580D" w:rsidP="004049E9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4049E9">
              <w:rPr>
                <w:rFonts w:ascii="Courier New" w:hAnsi="Courier New" w:cs="Courier New"/>
                <w:b/>
                <w:sz w:val="18"/>
                <w:szCs w:val="18"/>
              </w:rPr>
              <w:t>Burlingame, CA 94010</w:t>
            </w:r>
          </w:p>
        </w:tc>
      </w:tr>
      <w:tr w:rsidR="00F10BE0" w:rsidRPr="007167C0" w:rsidTr="00DB13A3">
        <w:trPr>
          <w:trHeight w:val="332"/>
        </w:trPr>
        <w:tc>
          <w:tcPr>
            <w:tcW w:w="1443" w:type="dxa"/>
          </w:tcPr>
          <w:p w:rsidR="00F10BE0" w:rsidRDefault="00F10BE0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0BE0" w:rsidRDefault="00F10BE0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9-21-2017</w:t>
            </w:r>
          </w:p>
        </w:tc>
        <w:tc>
          <w:tcPr>
            <w:tcW w:w="1710" w:type="dxa"/>
          </w:tcPr>
          <w:p w:rsidR="00F10BE0" w:rsidRDefault="00F10BE0" w:rsidP="00D65F68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0BE0" w:rsidRDefault="00F10BE0" w:rsidP="00D65F68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14-CV-00443</w:t>
            </w:r>
          </w:p>
        </w:tc>
        <w:tc>
          <w:tcPr>
            <w:tcW w:w="1710" w:type="dxa"/>
          </w:tcPr>
          <w:p w:rsidR="00F10BE0" w:rsidRDefault="00F10BE0" w:rsidP="00D65F68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0BE0" w:rsidRDefault="00F10BE0" w:rsidP="00D65F68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(D.N.H.)</w:t>
            </w:r>
          </w:p>
        </w:tc>
        <w:tc>
          <w:tcPr>
            <w:tcW w:w="5760" w:type="dxa"/>
          </w:tcPr>
          <w:p w:rsidR="00F10BE0" w:rsidRDefault="00F10BE0" w:rsidP="00F10BE0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0BE0" w:rsidRPr="00F10BE0" w:rsidRDefault="00F10BE0" w:rsidP="00F10BE0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10BE0">
              <w:rPr>
                <w:rFonts w:ascii="Courier New" w:hAnsi="Courier New" w:cs="Courier New"/>
                <w:b/>
                <w:sz w:val="20"/>
                <w:szCs w:val="20"/>
              </w:rPr>
              <w:t>Levy v. Gutierrez, et al. GTAT Securities Litigation</w:t>
            </w:r>
          </w:p>
          <w:p w:rsidR="00F10BE0" w:rsidRDefault="00F10BE0" w:rsidP="00F10BE0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10BE0"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Morgan Stanley &amp; Co. LLC, Goldman, Sachs &amp; Co. LLC, and </w:t>
            </w:r>
            <w:proofErr w:type="spellStart"/>
            <w:r w:rsidRPr="00F10BE0">
              <w:rPr>
                <w:rFonts w:ascii="Courier New" w:hAnsi="Courier New" w:cs="Courier New"/>
                <w:b/>
                <w:sz w:val="20"/>
                <w:szCs w:val="20"/>
              </w:rPr>
              <w:t>Canaccord</w:t>
            </w:r>
            <w:proofErr w:type="spellEnd"/>
            <w:r w:rsidRPr="00F10BE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 w:rsidRPr="00F10BE0">
              <w:rPr>
                <w:rFonts w:ascii="Courier New" w:hAnsi="Courier New" w:cs="Courier New"/>
                <w:b/>
                <w:sz w:val="20"/>
                <w:szCs w:val="20"/>
              </w:rPr>
              <w:t>Genuity</w:t>
            </w:r>
            <w:proofErr w:type="spellEnd"/>
            <w:r w:rsidRPr="00F10BE0">
              <w:rPr>
                <w:rFonts w:ascii="Courier New" w:hAnsi="Courier New" w:cs="Courier New"/>
                <w:b/>
                <w:sz w:val="20"/>
                <w:szCs w:val="20"/>
              </w:rPr>
              <w:t xml:space="preserve"> Inc., (collectively “Underwriter Defendants”)</w:t>
            </w:r>
          </w:p>
          <w:p w:rsidR="00F10BE0" w:rsidRPr="00F10BE0" w:rsidRDefault="00F10BE0" w:rsidP="00F10BE0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For more information see page 10 above.</w:t>
            </w:r>
          </w:p>
        </w:tc>
        <w:tc>
          <w:tcPr>
            <w:tcW w:w="1440" w:type="dxa"/>
          </w:tcPr>
          <w:p w:rsidR="00F10BE0" w:rsidRDefault="00F10BE0" w:rsidP="00D65F68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F10BE0" w:rsidRDefault="00F10BE0" w:rsidP="00D65F68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F10BE0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F10BE0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F10BE0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F10BE0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Bernstein Litowitz Berger</w:t>
            </w: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</w:t>
            </w:r>
          </w:p>
          <w:p w:rsidR="00F10BE0" w:rsidRPr="00D667C9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</w:t>
            </w: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&amp; Grossmann LLP</w:t>
            </w:r>
          </w:p>
          <w:p w:rsidR="00F10BE0" w:rsidRPr="00D667C9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John C. Browne</w:t>
            </w:r>
          </w:p>
          <w:p w:rsidR="00F10BE0" w:rsidRPr="00D667C9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1251 Avenue of the Americas</w:t>
            </w:r>
          </w:p>
          <w:p w:rsidR="00F10BE0" w:rsidRPr="00D667C9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44th Floor</w:t>
            </w:r>
          </w:p>
          <w:p w:rsidR="00F10BE0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D667C9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New York, NY 10020</w:t>
            </w:r>
          </w:p>
          <w:p w:rsidR="00F10BE0" w:rsidRDefault="00F10BE0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DB5A89" w:rsidRDefault="00DB5A89" w:rsidP="00D65F68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9-21-2017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14-CV-596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 Ill.)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Dr. Robert L.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Meinders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D.C. Ltd. v. The Emery Wilson Corporation d/b/a Sterling Management Systems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Plaintiff alleges that the Defendant violated the federal Telephone Consumer Protection Act and various state laws by sending unsolicited advertisements by fax.</w:t>
            </w:r>
          </w:p>
          <w:p w:rsidR="002C580D" w:rsidRPr="00345236" w:rsidRDefault="002C580D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Phillip A. Bock</w:t>
            </w:r>
          </w:p>
          <w:p w:rsidR="00F02991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Bock, Hatch, Lewis &amp; </w:t>
            </w:r>
          </w:p>
          <w:p w:rsidR="002C580D" w:rsidRPr="00F10BE0" w:rsidRDefault="00F02991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</w:t>
            </w:r>
            <w:r w:rsidR="002C580D" w:rsidRPr="00F10BE0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Oppenheim, LLC</w:t>
            </w: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134 N. LaSalle Street</w:t>
            </w: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Suite 1000</w:t>
            </w:r>
          </w:p>
          <w:p w:rsidR="005E7651" w:rsidRDefault="002C580D" w:rsidP="00A83807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Chicago, IL 60602</w:t>
            </w:r>
          </w:p>
          <w:p w:rsidR="00A83807" w:rsidRDefault="00A83807" w:rsidP="00A83807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9-22-2017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15-CV-5132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(S.D.N.Y.)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In re: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Braskem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Securities Litigation, and Carlos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Fadigas</w:t>
            </w:r>
            <w:proofErr w:type="spellEnd"/>
          </w:p>
          <w:p w:rsidR="002C580D" w:rsidRDefault="002C580D" w:rsidP="00A83807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 alleges that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Draskem’s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executives, made materially false and misleading statements and omissions to investors concerning, among other things, an alleged bribery scheme affecting the price at which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Braskem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purchased naphtha from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Petroleo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Brasileiro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S.A. (“Petrobras”).  </w:t>
            </w:r>
          </w:p>
          <w:p w:rsidR="00A83807" w:rsidRDefault="00A83807" w:rsidP="00A83807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3B3546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 xml:space="preserve">Cohen Milstein Sellers &amp; </w:t>
            </w:r>
          </w:p>
          <w:p w:rsidR="002C580D" w:rsidRPr="003B3546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 xml:space="preserve"> T</w:t>
            </w:r>
            <w:r w:rsidRPr="003B3546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oll PLLC</w:t>
            </w:r>
          </w:p>
          <w:p w:rsidR="002C580D" w:rsidRPr="003B3546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3B3546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Steven J. Toll</w:t>
            </w:r>
          </w:p>
          <w:p w:rsidR="002C580D" w:rsidRPr="003B3546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3B3546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1100 New Yrk Avenue, N.W.</w:t>
            </w:r>
          </w:p>
          <w:p w:rsidR="002C580D" w:rsidRPr="003B3546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3B3546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Suite 500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3B3546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Washington, D.C. 20005</w:t>
            </w: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9-22-2017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15-CV-01048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(M.D. Tenn.)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Rodriguez</w:t>
            </w:r>
            <w:r w:rsidR="005E7651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et al. v. Providence Community Corrections, Inc., et al.</w:t>
            </w:r>
          </w:p>
          <w:p w:rsidR="002C580D" w:rsidRDefault="002C580D" w:rsidP="00A115DC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Rutherford County, Tennessee, Providence Community Corrections, Inc., now known as Pathways Community Corrections, Inc., Jasmine Jackson, Briana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Woodlee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, Amanda Roberts,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Tiarra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Smith, and Nisha Hyde</w:t>
            </w:r>
          </w:p>
          <w:p w:rsidR="002C580D" w:rsidRPr="00A115DC" w:rsidRDefault="002C580D" w:rsidP="00A115D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Plaintiffs allege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 xml:space="preserve"> that Rutherford County contracted with Pathways Community Corrections </w:t>
            </w:r>
            <w:r>
              <w:rPr>
                <w:rFonts w:ascii="Courier New" w:hAnsi="Courier New" w:cs="Courier New"/>
                <w:sz w:val="20"/>
                <w:szCs w:val="20"/>
              </w:rPr>
              <w:t>(“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PCC</w:t>
            </w:r>
            <w:r>
              <w:rPr>
                <w:rFonts w:ascii="Courier New" w:hAnsi="Courier New" w:cs="Courier New"/>
                <w:sz w:val="20"/>
                <w:szCs w:val="20"/>
              </w:rPr>
              <w:t>”)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 xml:space="preserve"> to provide private probation services to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individuals on probation in Rutherford County. The lawsuit alleges that PCC and other defendants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extorted illegal fees from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individuals on probation. The Named Plaintiffs purport to represent a class of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 xml:space="preserve">individuals who, at any time from </w:t>
            </w:r>
            <w:r>
              <w:rPr>
                <w:rFonts w:ascii="Courier New" w:hAnsi="Courier New" w:cs="Courier New"/>
                <w:sz w:val="20"/>
                <w:szCs w:val="20"/>
              </w:rPr>
              <w:t>10-1-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2011 to the [Preliminary Approval Order date] incurred court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imposed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financial obligations arising from a traffic or misdemeanor case in Rutherford County General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Sessions or Circuit Court, and were supervised on probation in that case by PCC or Rutherford County’s</w:t>
            </w:r>
          </w:p>
          <w:p w:rsidR="002C580D" w:rsidRPr="00A115DC" w:rsidRDefault="002C580D" w:rsidP="00A115D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A115DC">
              <w:rPr>
                <w:rFonts w:ascii="Courier New" w:hAnsi="Courier New" w:cs="Courier New"/>
                <w:sz w:val="20"/>
                <w:szCs w:val="20"/>
              </w:rPr>
              <w:t>Probation Department. The lawsuit alleges violations of the Racketeer Influenced and Corrupt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Organizations Act (civil RICO statutes), other federal and state statutes, the due process and equal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protection rights under the U.S. Constitution, and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115DC">
              <w:rPr>
                <w:rFonts w:ascii="Courier New" w:hAnsi="Courier New" w:cs="Courier New"/>
                <w:sz w:val="20"/>
                <w:szCs w:val="20"/>
              </w:rPr>
              <w:t>Fourteenth Amendment to the U.S. Constitution.</w:t>
            </w:r>
          </w:p>
          <w:p w:rsidR="002C580D" w:rsidRDefault="002C580D" w:rsidP="00A115DC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A115DC">
              <w:rPr>
                <w:rFonts w:ascii="Courier New" w:hAnsi="Courier New" w:cs="Courier New"/>
                <w:sz w:val="20"/>
                <w:szCs w:val="20"/>
              </w:rPr>
              <w:t>The lawsuit also alleges abuse of process.</w:t>
            </w:r>
          </w:p>
          <w:p w:rsidR="002C580D" w:rsidRPr="00A115DC" w:rsidRDefault="002C580D" w:rsidP="00A115DC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or call: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DB420F" w:rsidRDefault="002C580D" w:rsidP="00DB420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B420F">
              <w:rPr>
                <w:rFonts w:ascii="Courier New" w:hAnsi="Courier New" w:cs="Courier New"/>
                <w:b/>
                <w:sz w:val="18"/>
                <w:szCs w:val="18"/>
              </w:rPr>
              <w:t>Elizabeth Rossi</w:t>
            </w:r>
          </w:p>
          <w:p w:rsidR="002C580D" w:rsidRPr="00DB420F" w:rsidRDefault="002C580D" w:rsidP="00DB420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B420F">
              <w:rPr>
                <w:rFonts w:ascii="Courier New" w:hAnsi="Courier New" w:cs="Courier New"/>
                <w:b/>
                <w:sz w:val="18"/>
                <w:szCs w:val="18"/>
              </w:rPr>
              <w:t>Civil Rights Corps</w:t>
            </w:r>
          </w:p>
          <w:p w:rsidR="002C580D" w:rsidRDefault="002C580D" w:rsidP="00DB420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B420F">
              <w:rPr>
                <w:rFonts w:ascii="Courier New" w:hAnsi="Courier New" w:cs="Courier New"/>
                <w:b/>
                <w:sz w:val="18"/>
                <w:szCs w:val="18"/>
              </w:rPr>
              <w:t>910 17th Street NW</w:t>
            </w:r>
          </w:p>
          <w:p w:rsidR="002C580D" w:rsidRPr="00DB420F" w:rsidRDefault="002C580D" w:rsidP="00DB420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B420F">
              <w:rPr>
                <w:rFonts w:ascii="Courier New" w:hAnsi="Courier New" w:cs="Courier New"/>
                <w:b/>
                <w:sz w:val="18"/>
                <w:szCs w:val="18"/>
              </w:rPr>
              <w:t>Suite 500</w:t>
            </w:r>
          </w:p>
          <w:p w:rsidR="002C580D" w:rsidRPr="00DB420F" w:rsidRDefault="002C580D" w:rsidP="00DB420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B420F">
              <w:rPr>
                <w:rFonts w:ascii="Courier New" w:hAnsi="Courier New" w:cs="Courier New"/>
                <w:b/>
                <w:sz w:val="18"/>
                <w:szCs w:val="18"/>
              </w:rPr>
              <w:t>Washington, DC 20006</w:t>
            </w:r>
          </w:p>
          <w:p w:rsidR="002C580D" w:rsidRPr="00DB420F" w:rsidRDefault="002C580D" w:rsidP="00DB420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C580D" w:rsidRPr="00DB420F" w:rsidRDefault="002C580D" w:rsidP="00DB420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DB420F">
              <w:rPr>
                <w:rFonts w:ascii="Courier New" w:hAnsi="Courier New" w:cs="Courier New"/>
                <w:b/>
                <w:sz w:val="18"/>
                <w:szCs w:val="18"/>
              </w:rPr>
              <w:t>202 599-0953 (Ph.)</w:t>
            </w:r>
          </w:p>
          <w:p w:rsidR="002C580D" w:rsidRDefault="002C580D" w:rsidP="00DB420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9-25-2017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15-CV-01698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(C.D. Cal.)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Cohen v. Foothill/Eastern Transportation Corridor Agency, et al.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</w:t>
            </w:r>
            <w:r w:rsidR="006C1E34">
              <w:rPr>
                <w:rFonts w:ascii="Courier New" w:hAnsi="Courier New" w:cs="Courier New"/>
                <w:b/>
                <w:sz w:val="20"/>
                <w:szCs w:val="20"/>
              </w:rPr>
              <w:t>San Joaquin Hills T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ransportation Corridor Agency</w:t>
            </w:r>
          </w:p>
          <w:p w:rsidR="002C580D" w:rsidRDefault="002C580D" w:rsidP="00921F2E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 alleges </w:t>
            </w:r>
            <w:r w:rsidRPr="00921F2E">
              <w:rPr>
                <w:rFonts w:ascii="Courier New" w:hAnsi="Courier New" w:cs="Courier New"/>
                <w:sz w:val="20"/>
                <w:szCs w:val="20"/>
              </w:rPr>
              <w:t>that Defendants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1F2E">
              <w:rPr>
                <w:rFonts w:ascii="Courier New" w:hAnsi="Courier New" w:cs="Courier New"/>
                <w:sz w:val="20"/>
                <w:szCs w:val="20"/>
              </w:rPr>
              <w:t>violated the Fair and Accurate Credit Transactio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ns Act, 15 U.S.C. </w:t>
            </w:r>
            <w:r w:rsidRPr="00921F2E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1681c(g)(1) </w:t>
            </w:r>
            <w:r w:rsidRPr="00921F2E">
              <w:rPr>
                <w:rFonts w:ascii="Courier New" w:hAnsi="Courier New" w:cs="Courier New"/>
                <w:sz w:val="20"/>
                <w:szCs w:val="20"/>
              </w:rPr>
              <w:t>by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1F2E">
              <w:rPr>
                <w:rFonts w:ascii="Courier New" w:hAnsi="Courier New" w:cs="Courier New"/>
                <w:sz w:val="20"/>
                <w:szCs w:val="20"/>
              </w:rPr>
              <w:t>willfully,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1F2E">
              <w:rPr>
                <w:rFonts w:ascii="Courier New" w:hAnsi="Courier New" w:cs="Courier New"/>
                <w:sz w:val="20"/>
                <w:szCs w:val="20"/>
              </w:rPr>
              <w:t>knowingly, or recklessly printing debit and credit card transaction receipts that revealed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1F2E">
              <w:rPr>
                <w:rFonts w:ascii="Courier New" w:hAnsi="Courier New" w:cs="Courier New"/>
                <w:sz w:val="20"/>
                <w:szCs w:val="20"/>
              </w:rPr>
              <w:t>more than the last five digits of the debit and credit card account numbers used in the transaction.</w:t>
            </w:r>
          </w:p>
          <w:p w:rsidR="00DB5A89" w:rsidRDefault="00DB5A89" w:rsidP="00921F2E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DB5A89" w:rsidRDefault="00DB5A89" w:rsidP="00921F2E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DB5A89" w:rsidRDefault="00DB5A89" w:rsidP="00921F2E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DB5A89" w:rsidRDefault="00DB5A89" w:rsidP="00921F2E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 e-mail or call:</w:t>
            </w:r>
          </w:p>
          <w:p w:rsidR="002C580D" w:rsidRPr="0026704E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26704E" w:rsidRDefault="002C580D" w:rsidP="002670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04E">
              <w:rPr>
                <w:rFonts w:ascii="Courier New" w:hAnsi="Courier New" w:cs="Courier New"/>
                <w:b/>
                <w:sz w:val="18"/>
                <w:szCs w:val="18"/>
              </w:rPr>
              <w:t xml:space="preserve">Jeff S. </w:t>
            </w:r>
            <w:proofErr w:type="spellStart"/>
            <w:r w:rsidRPr="0026704E">
              <w:rPr>
                <w:rFonts w:ascii="Courier New" w:hAnsi="Courier New" w:cs="Courier New"/>
                <w:b/>
                <w:sz w:val="18"/>
                <w:szCs w:val="18"/>
              </w:rPr>
              <w:t>Westerman</w:t>
            </w:r>
            <w:proofErr w:type="spellEnd"/>
          </w:p>
          <w:p w:rsidR="002C580D" w:rsidRPr="0026704E" w:rsidRDefault="002C580D" w:rsidP="002670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04E">
              <w:rPr>
                <w:rFonts w:ascii="Courier New" w:hAnsi="Courier New" w:cs="Courier New"/>
                <w:b/>
                <w:sz w:val="18"/>
                <w:szCs w:val="18"/>
              </w:rPr>
              <w:t>WESTERMAN LAW CORP.</w:t>
            </w:r>
          </w:p>
          <w:p w:rsidR="002C580D" w:rsidRPr="0026704E" w:rsidRDefault="002C580D" w:rsidP="002670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1875 Century Park E.</w:t>
            </w:r>
            <w:r w:rsidRPr="0026704E">
              <w:rPr>
                <w:rFonts w:ascii="Courier New" w:hAnsi="Courier New" w:cs="Courier New"/>
                <w:b/>
                <w:sz w:val="18"/>
                <w:szCs w:val="18"/>
              </w:rPr>
              <w:t xml:space="preserve"> Suite 2200</w:t>
            </w:r>
          </w:p>
          <w:p w:rsidR="002C580D" w:rsidRPr="0026704E" w:rsidRDefault="002C580D" w:rsidP="002670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04E">
              <w:rPr>
                <w:rFonts w:ascii="Courier New" w:hAnsi="Courier New" w:cs="Courier New"/>
                <w:b/>
                <w:sz w:val="18"/>
                <w:szCs w:val="18"/>
              </w:rPr>
              <w:t>Los Angeles, CA 90067</w:t>
            </w:r>
          </w:p>
          <w:p w:rsidR="002C580D" w:rsidRPr="0026704E" w:rsidRDefault="002C580D" w:rsidP="002670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C580D" w:rsidRPr="0026704E" w:rsidRDefault="004758BC" w:rsidP="002670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hyperlink r:id="rId23" w:history="1">
              <w:r w:rsidR="002C580D" w:rsidRPr="0026704E">
                <w:rPr>
                  <w:rStyle w:val="Hyperlink"/>
                  <w:rFonts w:ascii="Courier New" w:hAnsi="Courier New" w:cs="Courier New"/>
                  <w:b/>
                  <w:sz w:val="18"/>
                  <w:szCs w:val="18"/>
                </w:rPr>
                <w:t>jwesterman@jswlegal.com</w:t>
              </w:r>
            </w:hyperlink>
          </w:p>
          <w:p w:rsidR="002C580D" w:rsidRPr="0026704E" w:rsidRDefault="002C580D" w:rsidP="0026704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C580D" w:rsidRDefault="002C580D" w:rsidP="006C1E34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26704E">
              <w:rPr>
                <w:rFonts w:ascii="Courier New" w:hAnsi="Courier New" w:cs="Courier New"/>
                <w:b/>
                <w:sz w:val="18"/>
                <w:szCs w:val="18"/>
              </w:rPr>
              <w:t>310 698-7450 (Ph.)</w:t>
            </w: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9-25-2017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12-MD-02311</w:t>
            </w: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13-CV-00903</w:t>
            </w: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13-CV-01103</w:t>
            </w: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13-CV-02203</w:t>
            </w: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15-CV-03003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 Mich.)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In re: Automotive Parts Antitrust Litigation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End-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Payor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(“EPPs”)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Windshield Wiper Systems Action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Fuel Injection Systems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Spark Plugs, Oxygen Sensors, and Air Fuel Ratio Sensors Action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Re Defendants: Robert Bosch LLC and Robert Bosch GmbH</w:t>
            </w:r>
          </w:p>
          <w:p w:rsidR="002C580D" w:rsidRPr="00DB5A89" w:rsidRDefault="006C1E34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DB5A89">
              <w:rPr>
                <w:rFonts w:ascii="Courier New" w:hAnsi="Courier New" w:cs="Courier New"/>
                <w:sz w:val="20"/>
                <w:szCs w:val="20"/>
              </w:rPr>
              <w:t>The lawsuits claim that the Defendants in each lawsuit agreed to unlawfully raise the price of certain motor vehicle component parts. As a result, dealers of Trucks and/or Equipment who purchased for resale or lease Trucks and/or Equipment containing those parts or who indirectly purchased those parts as replacement parts, which were manufactured or sold by a Defendant or any subsidiary, affiliate, or alleged co-conspirator of a Defendant may have paid more than they should have.</w:t>
            </w:r>
          </w:p>
          <w:p w:rsidR="002C580D" w:rsidRPr="004B52D1" w:rsidRDefault="002C580D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F949DA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</w:t>
            </w:r>
            <w:r w:rsidR="006D475D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, call, fax or e-mail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6D475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Terrell W. Oxford</w:t>
            </w:r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6D475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Chanler A. Langham</w:t>
            </w:r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6D475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Omar Ochoa</w:t>
            </w:r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6D475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SUSMAN GODFREY L.L.P.</w:t>
            </w:r>
          </w:p>
          <w:p w:rsid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1000 Louisiana Street</w:t>
            </w:r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6D475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Suite 5100</w:t>
            </w:r>
          </w:p>
          <w:p w:rsid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6D475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Houston, TX 77002</w:t>
            </w:r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713</w:t>
            </w:r>
            <w:r w:rsidRPr="006D475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651-9366</w:t>
            </w: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(Ph.)</w:t>
            </w:r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713</w:t>
            </w:r>
            <w:r w:rsidRPr="006D475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654-6666</w:t>
            </w: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(Fax)</w:t>
            </w:r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6D475D" w:rsidRDefault="004758BC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24" w:history="1">
              <w:r w:rsidR="006D475D" w:rsidRPr="00826621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toxford@susmangodfrey.com</w:t>
              </w:r>
            </w:hyperlink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6D475D" w:rsidRDefault="004758BC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25" w:history="1">
              <w:r w:rsidR="006D475D" w:rsidRPr="00826621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clangham@susmangodfrey.com</w:t>
              </w:r>
            </w:hyperlink>
          </w:p>
          <w:p w:rsidR="006D475D" w:rsidRP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Default="004758BC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26" w:history="1">
              <w:r w:rsidR="006D475D" w:rsidRPr="00826621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oochoa@susmangodfrey.com</w:t>
              </w:r>
            </w:hyperlink>
          </w:p>
          <w:p w:rsidR="006D475D" w:rsidRDefault="006D475D" w:rsidP="006D475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Pr="001B44E4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Pr="001B44E4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B44E4">
              <w:rPr>
                <w:rFonts w:ascii="Courier New" w:hAnsi="Courier New" w:cs="Courier New"/>
                <w:b/>
                <w:sz w:val="20"/>
                <w:szCs w:val="20"/>
              </w:rPr>
              <w:t>9-25-2017</w:t>
            </w:r>
          </w:p>
          <w:p w:rsidR="002C580D" w:rsidRPr="001B44E4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580D" w:rsidRPr="001B44E4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Pr="001B44E4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B44E4">
              <w:rPr>
                <w:rFonts w:ascii="Courier New" w:hAnsi="Courier New" w:cs="Courier New"/>
                <w:b/>
                <w:sz w:val="20"/>
                <w:szCs w:val="20"/>
              </w:rPr>
              <w:t>14-CV-8461</w:t>
            </w:r>
          </w:p>
          <w:p w:rsidR="002C580D" w:rsidRPr="001B44E4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B44E4">
              <w:rPr>
                <w:rFonts w:ascii="Courier New" w:hAnsi="Courier New" w:cs="Courier New"/>
                <w:b/>
                <w:sz w:val="20"/>
                <w:szCs w:val="20"/>
              </w:rPr>
              <w:t>16-CV-8677</w:t>
            </w:r>
          </w:p>
        </w:tc>
        <w:tc>
          <w:tcPr>
            <w:tcW w:w="1710" w:type="dxa"/>
          </w:tcPr>
          <w:p w:rsidR="002C580D" w:rsidRPr="001B44E4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Pr="001B44E4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B44E4">
              <w:rPr>
                <w:rFonts w:ascii="Courier New" w:hAnsi="Courier New" w:cs="Courier New"/>
                <w:b/>
                <w:sz w:val="20"/>
                <w:szCs w:val="20"/>
              </w:rPr>
              <w:t>(N.D. Ill.)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Snyder, et al.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Ocwen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Loan Servicing, LLC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Beecroft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Ocwen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Loan Servicing, LLC</w:t>
            </w:r>
          </w:p>
          <w:p w:rsidR="002C580D" w:rsidRDefault="002C580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Plaintiffs allege that </w:t>
            </w:r>
            <w:proofErr w:type="spellStart"/>
            <w:r w:rsidRPr="00E703B2">
              <w:rPr>
                <w:rFonts w:ascii="Courier New" w:hAnsi="Courier New" w:cs="Courier New"/>
                <w:sz w:val="20"/>
                <w:szCs w:val="20"/>
              </w:rPr>
              <w:t>Ocwen</w:t>
            </w:r>
            <w:proofErr w:type="spellEnd"/>
            <w:r w:rsidRPr="00E703B2">
              <w:rPr>
                <w:rFonts w:ascii="Courier New" w:hAnsi="Courier New" w:cs="Courier New"/>
                <w:sz w:val="20"/>
                <w:szCs w:val="20"/>
              </w:rPr>
              <w:t xml:space="preserve"> violated the </w:t>
            </w:r>
            <w:r w:rsidR="002F0AEA">
              <w:rPr>
                <w:rFonts w:ascii="Courier New" w:hAnsi="Courier New" w:cs="Courier New"/>
                <w:sz w:val="20"/>
                <w:szCs w:val="20"/>
              </w:rPr>
              <w:t xml:space="preserve">federal Telephone Consumer Protection Act </w:t>
            </w:r>
            <w:r w:rsidRPr="00E703B2">
              <w:rPr>
                <w:rFonts w:ascii="Courier New" w:hAnsi="Courier New" w:cs="Courier New"/>
                <w:sz w:val="20"/>
                <w:szCs w:val="20"/>
              </w:rPr>
              <w:t>by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703B2">
              <w:rPr>
                <w:rFonts w:ascii="Courier New" w:hAnsi="Courier New" w:cs="Courier New"/>
                <w:sz w:val="20"/>
                <w:szCs w:val="20"/>
              </w:rPr>
              <w:t>using an automatic telephone dialing system to call cell phones without the prior express consent of the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703B2">
              <w:rPr>
                <w:rFonts w:ascii="Courier New" w:hAnsi="Courier New" w:cs="Courier New"/>
                <w:sz w:val="20"/>
                <w:szCs w:val="20"/>
              </w:rPr>
              <w:t>recipients.</w:t>
            </w:r>
          </w:p>
          <w:p w:rsidR="002C580D" w:rsidRDefault="002C580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5110BD" w:rsidRDefault="005110B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5110BD" w:rsidRDefault="005110B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5110BD" w:rsidRPr="00E703B2" w:rsidRDefault="005110B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E703B2" w:rsidRDefault="002C580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03B2">
              <w:rPr>
                <w:rFonts w:ascii="Courier New" w:hAnsi="Courier New" w:cs="Courier New"/>
                <w:b/>
                <w:sz w:val="16"/>
                <w:szCs w:val="16"/>
              </w:rPr>
              <w:t>Beth E. Terrell</w:t>
            </w:r>
          </w:p>
          <w:p w:rsidR="002C580D" w:rsidRPr="00E703B2" w:rsidRDefault="002C580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03B2">
              <w:rPr>
                <w:rFonts w:ascii="Courier New" w:hAnsi="Courier New" w:cs="Courier New"/>
                <w:b/>
                <w:sz w:val="16"/>
                <w:szCs w:val="16"/>
              </w:rPr>
              <w:t xml:space="preserve">Adrienne D. </w:t>
            </w:r>
            <w:proofErr w:type="spellStart"/>
            <w:r w:rsidRPr="00E703B2">
              <w:rPr>
                <w:rFonts w:ascii="Courier New" w:hAnsi="Courier New" w:cs="Courier New"/>
                <w:b/>
                <w:sz w:val="16"/>
                <w:szCs w:val="16"/>
              </w:rPr>
              <w:t>McEntee</w:t>
            </w:r>
            <w:proofErr w:type="spellEnd"/>
          </w:p>
          <w:p w:rsidR="002C580D" w:rsidRDefault="002C580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03B2">
              <w:rPr>
                <w:rFonts w:ascii="Courier New" w:hAnsi="Courier New" w:cs="Courier New"/>
                <w:b/>
                <w:sz w:val="16"/>
                <w:szCs w:val="16"/>
              </w:rPr>
              <w:t>Terrell Marshall Law Group,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  <w:p w:rsidR="002C580D" w:rsidRPr="00E703B2" w:rsidRDefault="002C580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03B2">
              <w:rPr>
                <w:rFonts w:ascii="Courier New" w:hAnsi="Courier New" w:cs="Courier New"/>
                <w:b/>
                <w:sz w:val="16"/>
                <w:szCs w:val="16"/>
              </w:rPr>
              <w:t xml:space="preserve"> PLLC</w:t>
            </w:r>
          </w:p>
          <w:p w:rsidR="002C580D" w:rsidRDefault="002C580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936 N. 34th Street</w:t>
            </w:r>
          </w:p>
          <w:p w:rsidR="002C580D" w:rsidRPr="00E703B2" w:rsidRDefault="002C580D" w:rsidP="00E703B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03B2">
              <w:rPr>
                <w:rFonts w:ascii="Courier New" w:hAnsi="Courier New" w:cs="Courier New"/>
                <w:b/>
                <w:sz w:val="16"/>
                <w:szCs w:val="16"/>
              </w:rPr>
              <w:t>Suite 300</w:t>
            </w:r>
          </w:p>
          <w:p w:rsidR="002C580D" w:rsidRDefault="002C580D" w:rsidP="00E703B2">
            <w:pPr>
              <w:pStyle w:val="PlainText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03B2">
              <w:rPr>
                <w:rFonts w:ascii="Courier New" w:hAnsi="Courier New" w:cs="Courier New"/>
                <w:b/>
                <w:sz w:val="16"/>
                <w:szCs w:val="16"/>
              </w:rPr>
              <w:t>Seattle, WA 98103</w:t>
            </w:r>
          </w:p>
          <w:p w:rsidR="002C580D" w:rsidRDefault="002C580D" w:rsidP="00E703B2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C929DC" w:rsidRPr="007167C0" w:rsidTr="00DB13A3">
        <w:trPr>
          <w:trHeight w:val="332"/>
        </w:trPr>
        <w:tc>
          <w:tcPr>
            <w:tcW w:w="1443" w:type="dxa"/>
          </w:tcPr>
          <w:p w:rsidR="00C929DC" w:rsidRDefault="00C929D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929DC" w:rsidRDefault="00C929D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9-25-2017</w:t>
            </w:r>
          </w:p>
        </w:tc>
        <w:tc>
          <w:tcPr>
            <w:tcW w:w="1710" w:type="dxa"/>
          </w:tcPr>
          <w:p w:rsidR="00C929DC" w:rsidRDefault="00C929D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929DC" w:rsidRDefault="00C929DC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14-CV-0522</w:t>
            </w:r>
          </w:p>
        </w:tc>
        <w:tc>
          <w:tcPr>
            <w:tcW w:w="1710" w:type="dxa"/>
          </w:tcPr>
          <w:p w:rsidR="00C929DC" w:rsidRDefault="00C929DC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929DC" w:rsidRDefault="00293D5A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(N.D. Cal.)</w:t>
            </w:r>
          </w:p>
        </w:tc>
        <w:tc>
          <w:tcPr>
            <w:tcW w:w="5760" w:type="dxa"/>
          </w:tcPr>
          <w:p w:rsidR="00C929DC" w:rsidRDefault="00C929DC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93D5A" w:rsidRDefault="00293D5A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Patel v. Trans Union LLC, et al.</w:t>
            </w:r>
          </w:p>
          <w:p w:rsidR="00293D5A" w:rsidRDefault="00293D5A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Re Defendant: Trans Union Rental Screening Solutions</w:t>
            </w:r>
          </w:p>
          <w:p w:rsidR="00293D5A" w:rsidRDefault="00293D5A" w:rsidP="00293D5A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293D5A">
              <w:rPr>
                <w:rFonts w:ascii="Courier New" w:hAnsi="Courier New" w:cs="Courier New"/>
                <w:sz w:val="20"/>
                <w:szCs w:val="20"/>
              </w:rPr>
              <w:t>The lawsuit claimed that Defendants failed to comply with the federal Fair Credit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93D5A">
              <w:rPr>
                <w:rFonts w:ascii="Courier New" w:hAnsi="Courier New" w:cs="Courier New"/>
                <w:sz w:val="20"/>
                <w:szCs w:val="20"/>
              </w:rPr>
              <w:t>Reporting Act by disclosing “Alert List” information concerning consumers who had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93D5A">
              <w:rPr>
                <w:rFonts w:ascii="Courier New" w:hAnsi="Courier New" w:cs="Courier New"/>
                <w:sz w:val="20"/>
                <w:szCs w:val="20"/>
              </w:rPr>
              <w:t>submitted rental applications to landlords</w:t>
            </w:r>
          </w:p>
          <w:p w:rsidR="00293D5A" w:rsidRDefault="00293D5A" w:rsidP="00293D5A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929DC" w:rsidRDefault="00C929DC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93D5A" w:rsidRDefault="00293D5A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C929DC" w:rsidRDefault="00C929D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93D5A" w:rsidRDefault="00293D5A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visit:</w:t>
            </w:r>
          </w:p>
          <w:p w:rsidR="00293D5A" w:rsidRDefault="00293D5A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93D5A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hyperlink r:id="rId27" w:history="1">
              <w:r w:rsidR="00293D5A" w:rsidRPr="000C6363">
                <w:rPr>
                  <w:rStyle w:val="Hyperlink"/>
                  <w:rFonts w:ascii="Courier New" w:hAnsi="Courier New" w:cs="Courier New"/>
                  <w:b/>
                  <w:noProof/>
                  <w:sz w:val="20"/>
                  <w:szCs w:val="20"/>
                </w:rPr>
                <w:t>www.pateltransunionclassaction.com</w:t>
              </w:r>
            </w:hyperlink>
          </w:p>
          <w:p w:rsidR="00293D5A" w:rsidRDefault="00293D5A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9-26-2017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14-CV-02081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 Cal.)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Fellen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, Inc., et al.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RehabCare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Group, Inc., et al.</w:t>
            </w:r>
          </w:p>
          <w:p w:rsidR="002C580D" w:rsidRPr="00BA0DB7" w:rsidRDefault="007B44A2" w:rsidP="002F0AEA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Plaintiff alleges D</w:t>
            </w:r>
            <w:r w:rsidR="002C580D">
              <w:rPr>
                <w:rFonts w:ascii="Courier New" w:hAnsi="Courier New" w:cs="Courier New"/>
                <w:sz w:val="20"/>
                <w:szCs w:val="20"/>
              </w:rPr>
              <w:t xml:space="preserve">efendants violated the </w:t>
            </w:r>
            <w:r w:rsidR="002F0AEA">
              <w:rPr>
                <w:rFonts w:ascii="Courier New" w:hAnsi="Courier New" w:cs="Courier New"/>
                <w:sz w:val="20"/>
                <w:szCs w:val="20"/>
              </w:rPr>
              <w:t>federal Telephone Consumer Protection Act</w:t>
            </w:r>
            <w:r w:rsidR="002C580D">
              <w:rPr>
                <w:rFonts w:ascii="Courier New" w:hAnsi="Courier New" w:cs="Courier New"/>
                <w:sz w:val="20"/>
                <w:szCs w:val="20"/>
              </w:rPr>
              <w:t xml:space="preserve"> and various regulations promulgated by the Federal Communications Commission by sending more</w:t>
            </w:r>
            <w:r w:rsidR="002F0AEA">
              <w:rPr>
                <w:rFonts w:ascii="Courier New" w:hAnsi="Courier New" w:cs="Courier New"/>
                <w:sz w:val="20"/>
                <w:szCs w:val="20"/>
              </w:rPr>
              <w:t xml:space="preserve"> than 2.4 million transmissions of junk faxes to long-term care facilities throughout the country.</w:t>
            </w: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EA2734" w:rsidRDefault="002C580D" w:rsidP="00EA273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A2734">
              <w:rPr>
                <w:rFonts w:ascii="Courier New" w:hAnsi="Courier New" w:cs="Courier New"/>
                <w:b/>
                <w:sz w:val="18"/>
                <w:szCs w:val="18"/>
              </w:rPr>
              <w:t>Beth E. Terrell</w:t>
            </w:r>
          </w:p>
          <w:p w:rsidR="002C580D" w:rsidRPr="00EA2734" w:rsidRDefault="002C580D" w:rsidP="00EA273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A2734">
              <w:rPr>
                <w:rFonts w:ascii="Courier New" w:hAnsi="Courier New" w:cs="Courier New"/>
                <w:b/>
                <w:sz w:val="18"/>
                <w:szCs w:val="18"/>
              </w:rPr>
              <w:t xml:space="preserve">Adrienne D. </w:t>
            </w:r>
            <w:proofErr w:type="spellStart"/>
            <w:r w:rsidRPr="00EA2734">
              <w:rPr>
                <w:rFonts w:ascii="Courier New" w:hAnsi="Courier New" w:cs="Courier New"/>
                <w:b/>
                <w:sz w:val="18"/>
                <w:szCs w:val="18"/>
              </w:rPr>
              <w:t>McEntee</w:t>
            </w:r>
            <w:proofErr w:type="spellEnd"/>
          </w:p>
          <w:p w:rsidR="002C580D" w:rsidRDefault="002C580D" w:rsidP="00EA273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A2734">
              <w:rPr>
                <w:rFonts w:ascii="Courier New" w:hAnsi="Courier New" w:cs="Courier New"/>
                <w:b/>
                <w:sz w:val="18"/>
                <w:szCs w:val="18"/>
              </w:rPr>
              <w:t xml:space="preserve">Terrell Marshall Law </w:t>
            </w:r>
          </w:p>
          <w:p w:rsidR="002C580D" w:rsidRPr="00EA2734" w:rsidRDefault="002C580D" w:rsidP="00EA273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G</w:t>
            </w:r>
            <w:r w:rsidRPr="00EA2734">
              <w:rPr>
                <w:rFonts w:ascii="Courier New" w:hAnsi="Courier New" w:cs="Courier New"/>
                <w:b/>
                <w:sz w:val="18"/>
                <w:szCs w:val="18"/>
              </w:rPr>
              <w:t>roup, PLLC</w:t>
            </w:r>
          </w:p>
          <w:p w:rsidR="002C580D" w:rsidRDefault="002C580D" w:rsidP="00EA273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A2734">
              <w:rPr>
                <w:rFonts w:ascii="Courier New" w:hAnsi="Courier New" w:cs="Courier New"/>
                <w:b/>
                <w:sz w:val="18"/>
                <w:szCs w:val="18"/>
              </w:rPr>
              <w:t>936 N. 34th St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reet </w:t>
            </w:r>
          </w:p>
          <w:p w:rsidR="002C580D" w:rsidRPr="00EA2734" w:rsidRDefault="002C580D" w:rsidP="00EA273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A2734">
              <w:rPr>
                <w:rFonts w:ascii="Courier New" w:hAnsi="Courier New" w:cs="Courier New"/>
                <w:b/>
                <w:sz w:val="18"/>
                <w:szCs w:val="18"/>
              </w:rPr>
              <w:t>Suite 300</w:t>
            </w:r>
          </w:p>
          <w:p w:rsidR="002C580D" w:rsidRDefault="002C580D" w:rsidP="005110BD">
            <w:pPr>
              <w:pStyle w:val="PlainText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A2734">
              <w:rPr>
                <w:rFonts w:ascii="Courier New" w:hAnsi="Courier New" w:cs="Courier New"/>
                <w:b/>
                <w:sz w:val="18"/>
                <w:szCs w:val="18"/>
              </w:rPr>
              <w:t>Seattle, WA 98103</w:t>
            </w:r>
          </w:p>
          <w:p w:rsidR="005110BD" w:rsidRDefault="005110BD" w:rsidP="005110BD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9-26-2017</w:t>
            </w: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11-CV-5450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(S.D.N.Y.)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Mayor &amp; City Council of Baltimore v. Credit Suisse Group AG</w:t>
            </w:r>
          </w:p>
          <w:p w:rsidR="002C580D" w:rsidRPr="005C4023" w:rsidRDefault="002C580D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Defendant: Barclays Bank PLC </w:t>
            </w:r>
          </w:p>
          <w:p w:rsidR="002C580D" w:rsidRDefault="002C580D" w:rsidP="005C402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5C4023">
              <w:rPr>
                <w:rFonts w:ascii="Courier New" w:hAnsi="Courier New" w:cs="Courier New"/>
                <w:sz w:val="20"/>
                <w:szCs w:val="20"/>
              </w:rPr>
              <w:t xml:space="preserve">Plaintiffs </w:t>
            </w:r>
            <w:r>
              <w:rPr>
                <w:rFonts w:ascii="Courier New" w:hAnsi="Courier New" w:cs="Courier New"/>
                <w:sz w:val="20"/>
                <w:szCs w:val="20"/>
              </w:rPr>
              <w:t>allege</w:t>
            </w:r>
            <w:r w:rsidRPr="005C4023">
              <w:rPr>
                <w:rFonts w:ascii="Courier New" w:hAnsi="Courier New" w:cs="Courier New"/>
                <w:sz w:val="20"/>
                <w:szCs w:val="20"/>
              </w:rPr>
              <w:t xml:space="preserve"> that Barclays and other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4023">
              <w:rPr>
                <w:rFonts w:ascii="Courier New" w:hAnsi="Courier New" w:cs="Courier New"/>
                <w:sz w:val="20"/>
                <w:szCs w:val="20"/>
              </w:rPr>
              <w:t>banks manipulated the U.S. Dollar LIBOR rate, and that, as a result, purchasers did not receive as much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4023">
              <w:rPr>
                <w:rFonts w:ascii="Courier New" w:hAnsi="Courier New" w:cs="Courier New"/>
                <w:sz w:val="20"/>
                <w:szCs w:val="20"/>
              </w:rPr>
              <w:t>interest payments for their U.S. Dollar LIBOR-based instruments from the banks as they should have.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4023">
              <w:rPr>
                <w:rFonts w:ascii="Courier New" w:hAnsi="Courier New" w:cs="Courier New"/>
                <w:sz w:val="20"/>
                <w:szCs w:val="20"/>
              </w:rPr>
              <w:t>Plaintiffs in the OTC Action have brought (a) antitrust claims under the Sherman Act, (b) breach of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4023">
              <w:rPr>
                <w:rFonts w:ascii="Courier New" w:hAnsi="Courier New" w:cs="Courier New"/>
                <w:sz w:val="20"/>
                <w:szCs w:val="20"/>
              </w:rPr>
              <w:t>contract claims, and (c) unjust enrichment claims against Barclays and the Non-Settling Defendants.</w:t>
            </w:r>
          </w:p>
          <w:p w:rsidR="002C580D" w:rsidRDefault="002C580D" w:rsidP="005C402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10-23-2017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informaion call or visit: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1 888 568-7640</w:t>
            </w:r>
            <w:r w:rsidR="00B0618B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 xml:space="preserve"> (Ph.)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5C4023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hyperlink r:id="rId28" w:history="1">
              <w:r w:rsidR="002C580D" w:rsidRPr="005C4023">
                <w:rPr>
                  <w:rStyle w:val="Hyperlink"/>
                  <w:rFonts w:ascii="Courier New" w:hAnsi="Courier New" w:cs="Courier New"/>
                  <w:b/>
                  <w:sz w:val="20"/>
                  <w:szCs w:val="20"/>
                </w:rPr>
                <w:t>www.BarclaysLiborSettlement.com</w:t>
              </w:r>
            </w:hyperlink>
          </w:p>
          <w:p w:rsidR="002C580D" w:rsidRPr="005C4023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9-27-2017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16-CV-00295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(W.D. Wisc.)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Farnham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v. Caribou Coffee Company, Inc.</w:t>
            </w:r>
          </w:p>
          <w:p w:rsidR="002C580D" w:rsidRDefault="002C580D" w:rsidP="009D6603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 alleges </w:t>
            </w:r>
            <w:r w:rsidRPr="00F61E1A">
              <w:rPr>
                <w:rFonts w:ascii="Courier New" w:hAnsi="Courier New" w:cs="Courier New"/>
                <w:sz w:val="20"/>
                <w:szCs w:val="20"/>
              </w:rPr>
              <w:t>that Caribou 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offee Company sent text message </w:t>
            </w:r>
            <w:r w:rsidR="00BA7D81">
              <w:rPr>
                <w:rFonts w:ascii="Courier New" w:hAnsi="Courier New" w:cs="Courier New"/>
                <w:sz w:val="20"/>
                <w:szCs w:val="20"/>
              </w:rPr>
              <w:t xml:space="preserve">advertisements </w:t>
            </w:r>
            <w:r w:rsidRPr="00F61E1A">
              <w:rPr>
                <w:rFonts w:ascii="Courier New" w:hAnsi="Courier New" w:cs="Courier New"/>
                <w:sz w:val="20"/>
                <w:szCs w:val="20"/>
              </w:rPr>
              <w:t xml:space="preserve">by use of an “automatic telephone dialing system” without “prior express written consent” in violation of the Telephone Consumer Protection Act, 47 U.S.C. </w:t>
            </w:r>
            <w:r w:rsidRPr="009D6603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227</w:t>
            </w:r>
            <w:r w:rsidRPr="00F61E1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C580D" w:rsidRPr="00F61E1A" w:rsidRDefault="002C580D" w:rsidP="009D6603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11-27-2017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7B44A2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color w:val="FF0000"/>
                <w:sz w:val="20"/>
                <w:szCs w:val="20"/>
              </w:rPr>
            </w:pPr>
            <w:r w:rsidRPr="007B44A2">
              <w:rPr>
                <w:rFonts w:ascii="Courier New" w:hAnsi="Courier New" w:cs="Courier New"/>
                <w:b/>
                <w:noProof/>
                <w:color w:val="FF0000"/>
                <w:sz w:val="20"/>
                <w:szCs w:val="20"/>
              </w:rPr>
              <w:t>Get information</w:t>
            </w: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9-28-2017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15-CV-02131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(C.D. Cal.)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Hiroyuki Oda, et al. v. Wilson Sporting Goods Co.</w:t>
            </w:r>
          </w:p>
          <w:p w:rsidR="002C580D" w:rsidRDefault="002C580D" w:rsidP="00226C0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85BC0">
              <w:rPr>
                <w:rFonts w:ascii="Courier New" w:hAnsi="Courier New" w:cs="Courier New"/>
                <w:sz w:val="20"/>
                <w:szCs w:val="20"/>
              </w:rPr>
              <w:t>The lawsuit claims that the 13/14 White Steels sold by Wilson were defectively designed and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85BC0">
              <w:rPr>
                <w:rFonts w:ascii="Courier New" w:hAnsi="Courier New" w:cs="Courier New"/>
                <w:sz w:val="20"/>
                <w:szCs w:val="20"/>
              </w:rPr>
              <w:t>manufactured which caused the 13/14 White Steels to fail prematurely. Specifically, the lawsuit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85BC0">
              <w:rPr>
                <w:rFonts w:ascii="Courier New" w:hAnsi="Courier New" w:cs="Courier New"/>
                <w:sz w:val="20"/>
                <w:szCs w:val="20"/>
              </w:rPr>
              <w:t>contends Wilson violated California and federal laws by failing to disclose the alleged defects and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85BC0">
              <w:rPr>
                <w:rFonts w:ascii="Courier New" w:hAnsi="Courier New" w:cs="Courier New"/>
                <w:sz w:val="20"/>
                <w:szCs w:val="20"/>
              </w:rPr>
              <w:t>complying with its express warranty.</w:t>
            </w:r>
          </w:p>
          <w:p w:rsidR="002C580D" w:rsidRDefault="002C580D" w:rsidP="00226C0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226C0E" w:rsidRDefault="002C580D" w:rsidP="00226C0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26C0E">
              <w:rPr>
                <w:rFonts w:ascii="Courier New" w:hAnsi="Courier New" w:cs="Courier New"/>
                <w:b/>
                <w:sz w:val="18"/>
                <w:szCs w:val="18"/>
              </w:rPr>
              <w:t>Brian D. Chase</w:t>
            </w:r>
          </w:p>
          <w:p w:rsidR="002C580D" w:rsidRPr="00226C0E" w:rsidRDefault="002C580D" w:rsidP="00226C0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26C0E">
              <w:rPr>
                <w:rFonts w:ascii="Courier New" w:hAnsi="Courier New" w:cs="Courier New"/>
                <w:b/>
                <w:sz w:val="18"/>
                <w:szCs w:val="18"/>
              </w:rPr>
              <w:t xml:space="preserve">Jerusalem F. </w:t>
            </w:r>
            <w:proofErr w:type="spellStart"/>
            <w:r w:rsidRPr="00226C0E">
              <w:rPr>
                <w:rFonts w:ascii="Courier New" w:hAnsi="Courier New" w:cs="Courier New"/>
                <w:b/>
                <w:sz w:val="18"/>
                <w:szCs w:val="18"/>
              </w:rPr>
              <w:t>Beligan</w:t>
            </w:r>
            <w:proofErr w:type="spellEnd"/>
          </w:p>
          <w:p w:rsidR="002C580D" w:rsidRPr="00226C0E" w:rsidRDefault="002C580D" w:rsidP="00226C0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226C0E">
              <w:rPr>
                <w:rFonts w:ascii="Courier New" w:hAnsi="Courier New" w:cs="Courier New"/>
                <w:b/>
                <w:sz w:val="18"/>
                <w:szCs w:val="18"/>
              </w:rPr>
              <w:t>Bisnar</w:t>
            </w:r>
            <w:proofErr w:type="spellEnd"/>
            <w:r w:rsidRPr="00226C0E">
              <w:rPr>
                <w:rFonts w:ascii="Courier New" w:hAnsi="Courier New" w:cs="Courier New"/>
                <w:b/>
                <w:sz w:val="18"/>
                <w:szCs w:val="18"/>
              </w:rPr>
              <w:t xml:space="preserve"> | Chase LLP</w:t>
            </w:r>
          </w:p>
          <w:p w:rsidR="002C580D" w:rsidRPr="00226C0E" w:rsidRDefault="002C580D" w:rsidP="00226C0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26C0E">
              <w:rPr>
                <w:rFonts w:ascii="Courier New" w:hAnsi="Courier New" w:cs="Courier New"/>
                <w:b/>
                <w:sz w:val="18"/>
                <w:szCs w:val="18"/>
              </w:rPr>
              <w:t>1301 Dove Street</w:t>
            </w:r>
          </w:p>
          <w:p w:rsidR="002C580D" w:rsidRPr="00226C0E" w:rsidRDefault="002C580D" w:rsidP="00226C0E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26C0E">
              <w:rPr>
                <w:rFonts w:ascii="Courier New" w:hAnsi="Courier New" w:cs="Courier New"/>
                <w:b/>
                <w:sz w:val="18"/>
                <w:szCs w:val="18"/>
              </w:rPr>
              <w:t>Suite 120</w:t>
            </w:r>
          </w:p>
          <w:p w:rsidR="002C580D" w:rsidRDefault="002C580D" w:rsidP="00226C0E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226C0E">
              <w:rPr>
                <w:rFonts w:ascii="Courier New" w:hAnsi="Courier New" w:cs="Courier New"/>
                <w:b/>
                <w:sz w:val="18"/>
                <w:szCs w:val="18"/>
              </w:rPr>
              <w:t>Newport Beach, CA 92660</w:t>
            </w: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9-28-2017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14-CV-259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(S.D.N.Y.)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Mayfield, et al.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Asta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Funding, Inc., et al.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Palisades Collection, LLC, Gary Stern,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Pressler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Pessler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, LLP, Richard A. Franklin, Tin-An A. Wang, Mitchell E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Zipkin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>, and Craig Stiller</w:t>
            </w:r>
          </w:p>
          <w:p w:rsidR="002C580D" w:rsidRPr="00E61583" w:rsidRDefault="002C580D" w:rsidP="00E6158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Plaintiffs allege that </w:t>
            </w:r>
            <w:r w:rsidRPr="00E61583">
              <w:rPr>
                <w:rFonts w:ascii="Courier New" w:hAnsi="Courier New" w:cs="Courier New"/>
                <w:sz w:val="20"/>
                <w:szCs w:val="20"/>
              </w:rPr>
              <w:t>Defendants acted 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61583">
              <w:rPr>
                <w:rFonts w:ascii="Courier New" w:hAnsi="Courier New" w:cs="Courier New"/>
                <w:sz w:val="20"/>
                <w:szCs w:val="20"/>
              </w:rPr>
              <w:t>unlawful ways in suing people in New York City Civil Court to collect on AT&amp;T Wireless debts.</w:t>
            </w:r>
          </w:p>
          <w:p w:rsidR="002C580D" w:rsidRDefault="002C580D" w:rsidP="00E6158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E61583">
              <w:rPr>
                <w:rFonts w:ascii="Courier New" w:hAnsi="Courier New" w:cs="Courier New"/>
                <w:sz w:val="20"/>
                <w:szCs w:val="20"/>
              </w:rPr>
              <w:t>Defendants have agreed to settle the claims in the case. But they deny that they did anything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61583">
              <w:rPr>
                <w:rFonts w:ascii="Courier New" w:hAnsi="Courier New" w:cs="Courier New"/>
                <w:sz w:val="20"/>
                <w:szCs w:val="20"/>
              </w:rPr>
              <w:t>wrong or violated any laws, and the Court has not decided whether they violated any laws.</w:t>
            </w:r>
          </w:p>
          <w:p w:rsidR="002C580D" w:rsidRPr="00E61583" w:rsidRDefault="002C580D" w:rsidP="00E6158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 to: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Hughes Hubbard &amp; Reed LLP</w:t>
            </w: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Diane E. Lifton</w:t>
            </w: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Meaghan C. Gragg</w:t>
            </w: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One Batery Park Plaza</w:t>
            </w: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New York, NY 10004</w:t>
            </w: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212 837-6000 (Ph.)</w:t>
            </w: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</w:p>
          <w:p w:rsidR="002C580D" w:rsidRPr="00F10BE0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8"/>
                <w:szCs w:val="18"/>
              </w:rPr>
            </w:pPr>
            <w:r w:rsidRPr="00F10BE0"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>212 422-4726 (Fax)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9-29-2017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15-CV-13696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(D. Mass.)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Vuckovic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v. KT Health Holdings, Inc. and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Kt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Health, LLC</w:t>
            </w:r>
          </w:p>
          <w:p w:rsidR="002C580D" w:rsidRDefault="002C580D" w:rsidP="00B0618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Plaintiffs allege that KT Health utilized false and misleading advertising on its product packaging and marketing materials for it</w:t>
            </w:r>
            <w:r w:rsidR="00B0618B">
              <w:rPr>
                <w:rFonts w:ascii="Courier New" w:hAnsi="Courier New" w:cs="Courier New"/>
                <w:sz w:val="20"/>
                <w:szCs w:val="20"/>
              </w:rPr>
              <w:t>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KT Ta</w:t>
            </w:r>
            <w:r w:rsidR="00B0618B">
              <w:rPr>
                <w:rFonts w:ascii="Courier New" w:hAnsi="Courier New" w:cs="Courier New"/>
                <w:sz w:val="20"/>
                <w:szCs w:val="20"/>
              </w:rPr>
              <w:t xml:space="preserve">pe Products.  Plaintiffs allege </w:t>
            </w:r>
            <w:r>
              <w:rPr>
                <w:rFonts w:ascii="Courier New" w:hAnsi="Courier New" w:cs="Courier New"/>
                <w:sz w:val="20"/>
                <w:szCs w:val="20"/>
              </w:rPr>
              <w:t>putative class action claims for: (1) unjust enrichment; (2) untrue and misleading advertising un</w:t>
            </w:r>
            <w:r w:rsidR="00F10BE0">
              <w:rPr>
                <w:rFonts w:ascii="Courier New" w:hAnsi="Courier New" w:cs="Courier New"/>
                <w:sz w:val="20"/>
                <w:szCs w:val="20"/>
              </w:rPr>
              <w:t>der Massachusetts statute G.L. Chapter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93A,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 call or e-mail:</w:t>
            </w:r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2C580D" w:rsidRPr="00AC06DC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C06DC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Pastor Law Office, LLP</w:t>
            </w:r>
          </w:p>
          <w:p w:rsidR="002C580D" w:rsidRPr="00AC06DC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C06DC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Bavid Pastor</w:t>
            </w:r>
          </w:p>
          <w:p w:rsidR="002C580D" w:rsidRPr="00AC06DC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C06DC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63 Atlantic Avenue</w:t>
            </w:r>
          </w:p>
          <w:p w:rsidR="002C580D" w:rsidRPr="00AC06DC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C06DC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3</w:t>
            </w:r>
            <w:r w:rsidRPr="00AC06DC">
              <w:rPr>
                <w:rFonts w:ascii="Courier New" w:hAnsi="Courier New" w:cs="Courier New"/>
                <w:b/>
                <w:noProof/>
                <w:sz w:val="16"/>
                <w:szCs w:val="16"/>
                <w:vertAlign w:val="superscript"/>
              </w:rPr>
              <w:t>rd</w:t>
            </w:r>
            <w:r w:rsidRPr="00AC06DC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Floor</w:t>
            </w:r>
          </w:p>
          <w:p w:rsidR="002C580D" w:rsidRPr="00AC06DC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C06DC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Boston, MA 02110</w:t>
            </w:r>
          </w:p>
          <w:p w:rsidR="002C580D" w:rsidRPr="00AC06DC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Pr="00AC06DC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C06DC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616 742-9700 (Ph.)</w:t>
            </w:r>
          </w:p>
          <w:p w:rsidR="002C580D" w:rsidRPr="00AC06DC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2C580D" w:rsidRDefault="004758BC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29" w:history="1">
              <w:r w:rsidR="002C580D" w:rsidRPr="00AC06DC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dpastor@pastorlawoffice.com</w:t>
              </w:r>
            </w:hyperlink>
          </w:p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  <w:tr w:rsidR="002C580D" w:rsidRPr="007167C0" w:rsidTr="00DB13A3">
        <w:trPr>
          <w:trHeight w:val="332"/>
        </w:trPr>
        <w:tc>
          <w:tcPr>
            <w:tcW w:w="1443" w:type="dxa"/>
          </w:tcPr>
          <w:p w:rsidR="002C580D" w:rsidRDefault="002C580D" w:rsidP="00AC06DC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580D" w:rsidRDefault="00997328" w:rsidP="00AC06DC">
            <w:pPr>
              <w:pStyle w:val="PlainText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9-29-2017</w:t>
            </w:r>
          </w:p>
        </w:tc>
        <w:tc>
          <w:tcPr>
            <w:tcW w:w="171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97328" w:rsidRDefault="00997328" w:rsidP="007F297B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14-CV-02081</w:t>
            </w:r>
          </w:p>
        </w:tc>
        <w:tc>
          <w:tcPr>
            <w:tcW w:w="1710" w:type="dxa"/>
          </w:tcPr>
          <w:p w:rsidR="002C580D" w:rsidRDefault="002C580D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97328" w:rsidRDefault="00997328" w:rsidP="009E4B3F">
            <w:pPr>
              <w:pStyle w:val="PlainTex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(E.D. Cal.)</w:t>
            </w:r>
          </w:p>
        </w:tc>
        <w:tc>
          <w:tcPr>
            <w:tcW w:w="576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97328" w:rsidRDefault="00997328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Fellen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, Inc., et al. v.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RehabCare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Group, Inc., et al.</w:t>
            </w:r>
          </w:p>
          <w:p w:rsidR="00BE133D" w:rsidRDefault="00BE133D" w:rsidP="007F297B">
            <w:pPr>
              <w:pStyle w:val="PlainText"/>
              <w:jc w:val="lef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Re Defendants: Cannon &amp; Associates, LLC, dba Polaris Group Polaris Group </w:t>
            </w:r>
          </w:p>
          <w:p w:rsidR="00BE133D" w:rsidRDefault="00B0618B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For more information see CAFA Notice dated 9-26-2017 page 19 above.</w:t>
            </w:r>
          </w:p>
          <w:p w:rsidR="00626076" w:rsidRPr="00BE133D" w:rsidRDefault="00626076" w:rsidP="007F297B">
            <w:pPr>
              <w:pStyle w:val="PlainText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80D" w:rsidRDefault="002C580D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997328" w:rsidRDefault="00A83807" w:rsidP="007F297B">
            <w:pPr>
              <w:pStyle w:val="PlainTex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Not set yet</w:t>
            </w:r>
          </w:p>
        </w:tc>
        <w:tc>
          <w:tcPr>
            <w:tcW w:w="2970" w:type="dxa"/>
          </w:tcPr>
          <w:p w:rsidR="002C580D" w:rsidRDefault="002C580D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A2734F" w:rsidRDefault="00A2734F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For more information write,call or e-mail:</w:t>
            </w:r>
          </w:p>
          <w:p w:rsidR="00A2734F" w:rsidRDefault="00A2734F" w:rsidP="007F297B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  <w:p w:rsidR="00A2734F" w:rsidRP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2734F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Dowling Aaron Incorporated</w:t>
            </w:r>
          </w:p>
          <w:p w:rsid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2734F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Donald R.</w:t>
            </w: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Fischbach</w:t>
            </w:r>
          </w:p>
          <w:p w:rsidR="00A2734F" w:rsidRP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2734F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Mark D. Krut</w:t>
            </w: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hers,</w:t>
            </w:r>
          </w:p>
          <w:p w:rsid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8080 N. Palm Avenue</w:t>
            </w:r>
          </w:p>
          <w:p w:rsidR="00A2734F" w:rsidRP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2734F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Third Floor</w:t>
            </w:r>
          </w:p>
          <w:p w:rsid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2734F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Fresno, California 93711</w:t>
            </w:r>
          </w:p>
          <w:p w:rsidR="00A2734F" w:rsidRP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r w:rsidRPr="00A2734F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559 432-4500</w:t>
            </w:r>
            <w:r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 xml:space="preserve"> (Ph.)</w:t>
            </w:r>
          </w:p>
          <w:p w:rsid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A2734F" w:rsidRPr="00A2734F" w:rsidRDefault="004758BC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30" w:history="1">
              <w:r w:rsidR="00A2734F" w:rsidRPr="00A2734F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Fischbachdfischbach@dowlingaaron.com</w:t>
              </w:r>
            </w:hyperlink>
          </w:p>
          <w:p w:rsidR="00A2734F" w:rsidRP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</w:p>
          <w:p w:rsidR="00A2734F" w:rsidRPr="00A2734F" w:rsidRDefault="004758BC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16"/>
                <w:szCs w:val="16"/>
              </w:rPr>
            </w:pPr>
            <w:hyperlink r:id="rId31" w:history="1">
              <w:r w:rsidR="00A2734F" w:rsidRPr="00A2734F">
                <w:rPr>
                  <w:rStyle w:val="Hyperlink"/>
                  <w:rFonts w:ascii="Courier New" w:hAnsi="Courier New" w:cs="Courier New"/>
                  <w:b/>
                  <w:noProof/>
                  <w:sz w:val="16"/>
                  <w:szCs w:val="16"/>
                </w:rPr>
                <w:t>mkruthers@dowlingaaron.com</w:t>
              </w:r>
            </w:hyperlink>
          </w:p>
          <w:p w:rsidR="00A2734F" w:rsidRDefault="00A2734F" w:rsidP="00A2734F">
            <w:pPr>
              <w:pStyle w:val="PlainText"/>
              <w:jc w:val="left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</w:p>
        </w:tc>
      </w:tr>
    </w:tbl>
    <w:p w:rsidR="00A24466" w:rsidRPr="002C6872" w:rsidRDefault="00A24466">
      <w:pPr>
        <w:jc w:val="left"/>
        <w:rPr>
          <w:rFonts w:ascii="Courier New" w:hAnsi="Courier New" w:cs="Courier New"/>
          <w:sz w:val="20"/>
          <w:szCs w:val="20"/>
        </w:rPr>
      </w:pPr>
    </w:p>
    <w:sectPr w:rsidR="00A24466" w:rsidRPr="002C6872" w:rsidSect="00810306">
      <w:headerReference w:type="default" r:id="rId32"/>
      <w:footerReference w:type="default" r:id="rId3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BC" w:rsidRDefault="004758BC" w:rsidP="004538E3">
      <w:pPr>
        <w:spacing w:after="0"/>
      </w:pPr>
      <w:r>
        <w:separator/>
      </w:r>
    </w:p>
  </w:endnote>
  <w:endnote w:type="continuationSeparator" w:id="0">
    <w:p w:rsidR="004758BC" w:rsidRDefault="004758BC" w:rsidP="00453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36938"/>
      <w:docPartObj>
        <w:docPartGallery w:val="Page Numbers (Bottom of Page)"/>
        <w:docPartUnique/>
      </w:docPartObj>
    </w:sdtPr>
    <w:sdtEndPr/>
    <w:sdtContent>
      <w:p w:rsidR="00534143" w:rsidRDefault="005341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38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34143" w:rsidRDefault="00534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BC" w:rsidRDefault="004758BC" w:rsidP="004538E3">
      <w:pPr>
        <w:spacing w:after="0"/>
      </w:pPr>
      <w:r>
        <w:separator/>
      </w:r>
    </w:p>
  </w:footnote>
  <w:footnote w:type="continuationSeparator" w:id="0">
    <w:p w:rsidR="004758BC" w:rsidRDefault="004758BC" w:rsidP="004538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3" w:rsidRDefault="00534143">
    <w:pPr>
      <w:pStyle w:val="Header"/>
    </w:pPr>
  </w:p>
  <w:p w:rsidR="00534143" w:rsidRDefault="00534143" w:rsidP="007A1456">
    <w:pPr>
      <w:pStyle w:val="PlainText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>Class Action Fairness Act (CAFA) Notices</w:t>
    </w:r>
  </w:p>
  <w:p w:rsidR="00534143" w:rsidRDefault="00534143" w:rsidP="007A1456">
    <w:pPr>
      <w:pStyle w:val="PlainText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>Draft September CAFA 2017, to the</w:t>
    </w:r>
  </w:p>
  <w:p w:rsidR="00534143" w:rsidRPr="00595659" w:rsidRDefault="00534143" w:rsidP="007A1456">
    <w:pPr>
      <w:pStyle w:val="PlainText"/>
      <w:tabs>
        <w:tab w:val="center" w:pos="7200"/>
        <w:tab w:val="left" w:pos="11310"/>
      </w:tabs>
      <w:jc w:val="left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ab/>
      <w:t>Attorney General for the District of Columbia</w:t>
    </w:r>
  </w:p>
  <w:p w:rsidR="00534143" w:rsidRPr="00595659" w:rsidRDefault="00534143" w:rsidP="00F40A2D">
    <w:pPr>
      <w:pStyle w:val="PlainText"/>
      <w:tabs>
        <w:tab w:val="center" w:pos="7200"/>
        <w:tab w:val="left" w:pos="11310"/>
      </w:tabs>
      <w:jc w:val="left"/>
      <w:rPr>
        <w:rFonts w:ascii="Courier New" w:hAnsi="Courier New" w:cs="Courier New"/>
        <w:b/>
      </w:rPr>
    </w:pPr>
    <w:r w:rsidRPr="00595659">
      <w:rPr>
        <w:rFonts w:ascii="Courier New" w:hAnsi="Courier New" w:cs="Courier New"/>
        <w:b/>
      </w:rPr>
      <w:tab/>
    </w:r>
  </w:p>
  <w:p w:rsidR="00534143" w:rsidRPr="004538E3" w:rsidRDefault="00534143" w:rsidP="004538E3">
    <w:pPr>
      <w:pStyle w:val="PlainText"/>
      <w:rPr>
        <w:rFonts w:ascii="Courier New" w:hAnsi="Courier New" w:cs="Courier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8E3"/>
    <w:rsid w:val="0000299A"/>
    <w:rsid w:val="00005615"/>
    <w:rsid w:val="0000663E"/>
    <w:rsid w:val="000069E3"/>
    <w:rsid w:val="00010EE4"/>
    <w:rsid w:val="00013752"/>
    <w:rsid w:val="00026096"/>
    <w:rsid w:val="00026998"/>
    <w:rsid w:val="00032A8C"/>
    <w:rsid w:val="00033550"/>
    <w:rsid w:val="00040A7E"/>
    <w:rsid w:val="0004206B"/>
    <w:rsid w:val="00052FC9"/>
    <w:rsid w:val="00056E72"/>
    <w:rsid w:val="00057ED3"/>
    <w:rsid w:val="00061881"/>
    <w:rsid w:val="00063BDF"/>
    <w:rsid w:val="00064C7D"/>
    <w:rsid w:val="00065743"/>
    <w:rsid w:val="00065AC2"/>
    <w:rsid w:val="000726BF"/>
    <w:rsid w:val="00072C67"/>
    <w:rsid w:val="00083E45"/>
    <w:rsid w:val="00084D95"/>
    <w:rsid w:val="00085846"/>
    <w:rsid w:val="0009042A"/>
    <w:rsid w:val="000911F7"/>
    <w:rsid w:val="00092551"/>
    <w:rsid w:val="000B10D8"/>
    <w:rsid w:val="000C1606"/>
    <w:rsid w:val="000C1F0F"/>
    <w:rsid w:val="000C2AED"/>
    <w:rsid w:val="000C412F"/>
    <w:rsid w:val="000C58B1"/>
    <w:rsid w:val="000C6CF4"/>
    <w:rsid w:val="000D7ECD"/>
    <w:rsid w:val="000E0923"/>
    <w:rsid w:val="000E419E"/>
    <w:rsid w:val="000E7B8F"/>
    <w:rsid w:val="000F305A"/>
    <w:rsid w:val="001004B3"/>
    <w:rsid w:val="00101D17"/>
    <w:rsid w:val="00106DB1"/>
    <w:rsid w:val="001145C9"/>
    <w:rsid w:val="001149AD"/>
    <w:rsid w:val="001208B9"/>
    <w:rsid w:val="00127CB5"/>
    <w:rsid w:val="00132C29"/>
    <w:rsid w:val="00134EF5"/>
    <w:rsid w:val="0013733E"/>
    <w:rsid w:val="00137F3C"/>
    <w:rsid w:val="001519D2"/>
    <w:rsid w:val="001521A1"/>
    <w:rsid w:val="001601A6"/>
    <w:rsid w:val="00161CBB"/>
    <w:rsid w:val="00165FDD"/>
    <w:rsid w:val="0016672F"/>
    <w:rsid w:val="0017442D"/>
    <w:rsid w:val="00174B5A"/>
    <w:rsid w:val="00174C4E"/>
    <w:rsid w:val="00176670"/>
    <w:rsid w:val="00180C70"/>
    <w:rsid w:val="00183DF5"/>
    <w:rsid w:val="0018718E"/>
    <w:rsid w:val="0019359A"/>
    <w:rsid w:val="00197EBF"/>
    <w:rsid w:val="001A6147"/>
    <w:rsid w:val="001A7BC8"/>
    <w:rsid w:val="001B0BDE"/>
    <w:rsid w:val="001B1B54"/>
    <w:rsid w:val="001B4283"/>
    <w:rsid w:val="001B44E4"/>
    <w:rsid w:val="001B45FA"/>
    <w:rsid w:val="001B6369"/>
    <w:rsid w:val="001C03DF"/>
    <w:rsid w:val="001C0579"/>
    <w:rsid w:val="001C15C7"/>
    <w:rsid w:val="001D73CA"/>
    <w:rsid w:val="001E034E"/>
    <w:rsid w:val="001E0F10"/>
    <w:rsid w:val="001E5AED"/>
    <w:rsid w:val="001E6424"/>
    <w:rsid w:val="001F4A25"/>
    <w:rsid w:val="001F6996"/>
    <w:rsid w:val="00212170"/>
    <w:rsid w:val="002156F1"/>
    <w:rsid w:val="00215CDF"/>
    <w:rsid w:val="0021773E"/>
    <w:rsid w:val="002242BB"/>
    <w:rsid w:val="00226C0E"/>
    <w:rsid w:val="00227CD3"/>
    <w:rsid w:val="002316D4"/>
    <w:rsid w:val="00231752"/>
    <w:rsid w:val="00232B4C"/>
    <w:rsid w:val="00234ED3"/>
    <w:rsid w:val="00235C2A"/>
    <w:rsid w:val="00240DFF"/>
    <w:rsid w:val="002411DA"/>
    <w:rsid w:val="002460CE"/>
    <w:rsid w:val="00246EA7"/>
    <w:rsid w:val="00254595"/>
    <w:rsid w:val="00254AC7"/>
    <w:rsid w:val="00257E18"/>
    <w:rsid w:val="002616C3"/>
    <w:rsid w:val="00262F10"/>
    <w:rsid w:val="00263FE8"/>
    <w:rsid w:val="0026704E"/>
    <w:rsid w:val="00272B63"/>
    <w:rsid w:val="00275AA6"/>
    <w:rsid w:val="0027777F"/>
    <w:rsid w:val="00286ECD"/>
    <w:rsid w:val="00292160"/>
    <w:rsid w:val="00293D5A"/>
    <w:rsid w:val="002A46E8"/>
    <w:rsid w:val="002B1C4D"/>
    <w:rsid w:val="002C0C2C"/>
    <w:rsid w:val="002C580D"/>
    <w:rsid w:val="002C6872"/>
    <w:rsid w:val="002D2EC2"/>
    <w:rsid w:val="002D323A"/>
    <w:rsid w:val="002D3ADF"/>
    <w:rsid w:val="002D599F"/>
    <w:rsid w:val="002D5C19"/>
    <w:rsid w:val="002D7DC5"/>
    <w:rsid w:val="002E4AFE"/>
    <w:rsid w:val="002F0AEA"/>
    <w:rsid w:val="002F18F3"/>
    <w:rsid w:val="002F3C8D"/>
    <w:rsid w:val="002F712F"/>
    <w:rsid w:val="002F717C"/>
    <w:rsid w:val="00300534"/>
    <w:rsid w:val="0030782C"/>
    <w:rsid w:val="00311F78"/>
    <w:rsid w:val="00315370"/>
    <w:rsid w:val="00315EA6"/>
    <w:rsid w:val="0032066C"/>
    <w:rsid w:val="00320894"/>
    <w:rsid w:val="0032442A"/>
    <w:rsid w:val="003258E7"/>
    <w:rsid w:val="00326089"/>
    <w:rsid w:val="0033098A"/>
    <w:rsid w:val="00331981"/>
    <w:rsid w:val="003323FB"/>
    <w:rsid w:val="00345236"/>
    <w:rsid w:val="00346E2E"/>
    <w:rsid w:val="00352CB0"/>
    <w:rsid w:val="00354756"/>
    <w:rsid w:val="003701B5"/>
    <w:rsid w:val="00371D82"/>
    <w:rsid w:val="003744E9"/>
    <w:rsid w:val="00381C76"/>
    <w:rsid w:val="00382024"/>
    <w:rsid w:val="0038376E"/>
    <w:rsid w:val="00384B17"/>
    <w:rsid w:val="003911B5"/>
    <w:rsid w:val="00391AB6"/>
    <w:rsid w:val="0039386A"/>
    <w:rsid w:val="00393F5F"/>
    <w:rsid w:val="003940D5"/>
    <w:rsid w:val="003964FD"/>
    <w:rsid w:val="003A67E2"/>
    <w:rsid w:val="003A6BA2"/>
    <w:rsid w:val="003A7FF8"/>
    <w:rsid w:val="003B3546"/>
    <w:rsid w:val="003B3801"/>
    <w:rsid w:val="003C024E"/>
    <w:rsid w:val="003C0AD7"/>
    <w:rsid w:val="003C290B"/>
    <w:rsid w:val="003C46D8"/>
    <w:rsid w:val="003C5C7C"/>
    <w:rsid w:val="003D1DC8"/>
    <w:rsid w:val="003E248A"/>
    <w:rsid w:val="003E41D0"/>
    <w:rsid w:val="003E7A27"/>
    <w:rsid w:val="003F26A5"/>
    <w:rsid w:val="003F41FF"/>
    <w:rsid w:val="003F7A55"/>
    <w:rsid w:val="003F7D3D"/>
    <w:rsid w:val="004049E9"/>
    <w:rsid w:val="00405F51"/>
    <w:rsid w:val="00406ED7"/>
    <w:rsid w:val="00414249"/>
    <w:rsid w:val="00415B3D"/>
    <w:rsid w:val="00416347"/>
    <w:rsid w:val="004178B7"/>
    <w:rsid w:val="0042633F"/>
    <w:rsid w:val="00426973"/>
    <w:rsid w:val="004320C3"/>
    <w:rsid w:val="00432C38"/>
    <w:rsid w:val="004339C9"/>
    <w:rsid w:val="00433D73"/>
    <w:rsid w:val="00434BFE"/>
    <w:rsid w:val="00451A8E"/>
    <w:rsid w:val="004538E3"/>
    <w:rsid w:val="00455B39"/>
    <w:rsid w:val="00463A36"/>
    <w:rsid w:val="0047053D"/>
    <w:rsid w:val="00470D99"/>
    <w:rsid w:val="004711EC"/>
    <w:rsid w:val="0047365A"/>
    <w:rsid w:val="004758BC"/>
    <w:rsid w:val="00475DEF"/>
    <w:rsid w:val="00475FEA"/>
    <w:rsid w:val="00485CD9"/>
    <w:rsid w:val="004922FB"/>
    <w:rsid w:val="004946B9"/>
    <w:rsid w:val="00497A3A"/>
    <w:rsid w:val="004A0732"/>
    <w:rsid w:val="004A661A"/>
    <w:rsid w:val="004B52D1"/>
    <w:rsid w:val="004B5A10"/>
    <w:rsid w:val="004C210A"/>
    <w:rsid w:val="004C3FF9"/>
    <w:rsid w:val="004D51C7"/>
    <w:rsid w:val="004D5794"/>
    <w:rsid w:val="004E040A"/>
    <w:rsid w:val="004E164B"/>
    <w:rsid w:val="004E55C2"/>
    <w:rsid w:val="004E75AE"/>
    <w:rsid w:val="004F6030"/>
    <w:rsid w:val="005011EA"/>
    <w:rsid w:val="00501B2A"/>
    <w:rsid w:val="00502229"/>
    <w:rsid w:val="005032D5"/>
    <w:rsid w:val="00510F9D"/>
    <w:rsid w:val="005110BD"/>
    <w:rsid w:val="0051433D"/>
    <w:rsid w:val="005153A1"/>
    <w:rsid w:val="005156A1"/>
    <w:rsid w:val="0051733E"/>
    <w:rsid w:val="00517B94"/>
    <w:rsid w:val="00517E60"/>
    <w:rsid w:val="005208D2"/>
    <w:rsid w:val="00522CFF"/>
    <w:rsid w:val="00524FF8"/>
    <w:rsid w:val="005276A9"/>
    <w:rsid w:val="00531914"/>
    <w:rsid w:val="00533E9B"/>
    <w:rsid w:val="00534143"/>
    <w:rsid w:val="00534793"/>
    <w:rsid w:val="0053663E"/>
    <w:rsid w:val="0054151D"/>
    <w:rsid w:val="00547996"/>
    <w:rsid w:val="00551259"/>
    <w:rsid w:val="0055322D"/>
    <w:rsid w:val="00554C23"/>
    <w:rsid w:val="00554F71"/>
    <w:rsid w:val="005565BD"/>
    <w:rsid w:val="00557ACE"/>
    <w:rsid w:val="005611F9"/>
    <w:rsid w:val="00561512"/>
    <w:rsid w:val="00561551"/>
    <w:rsid w:val="00566C25"/>
    <w:rsid w:val="005709BA"/>
    <w:rsid w:val="005746C3"/>
    <w:rsid w:val="00574DC9"/>
    <w:rsid w:val="005761ED"/>
    <w:rsid w:val="00576E0D"/>
    <w:rsid w:val="00580C95"/>
    <w:rsid w:val="00581C85"/>
    <w:rsid w:val="0059352D"/>
    <w:rsid w:val="00594957"/>
    <w:rsid w:val="00595659"/>
    <w:rsid w:val="005A187E"/>
    <w:rsid w:val="005A4BA3"/>
    <w:rsid w:val="005B0380"/>
    <w:rsid w:val="005B71EA"/>
    <w:rsid w:val="005B7980"/>
    <w:rsid w:val="005C03BB"/>
    <w:rsid w:val="005C1B2E"/>
    <w:rsid w:val="005C4023"/>
    <w:rsid w:val="005C4EDF"/>
    <w:rsid w:val="005C6F90"/>
    <w:rsid w:val="005C7122"/>
    <w:rsid w:val="005C7356"/>
    <w:rsid w:val="005D20FE"/>
    <w:rsid w:val="005D49E0"/>
    <w:rsid w:val="005D6553"/>
    <w:rsid w:val="005E7651"/>
    <w:rsid w:val="005F155B"/>
    <w:rsid w:val="005F2F29"/>
    <w:rsid w:val="005F46AF"/>
    <w:rsid w:val="005F67BF"/>
    <w:rsid w:val="005F7834"/>
    <w:rsid w:val="00601791"/>
    <w:rsid w:val="00602B57"/>
    <w:rsid w:val="006173ED"/>
    <w:rsid w:val="0062196B"/>
    <w:rsid w:val="00622FAA"/>
    <w:rsid w:val="0062448B"/>
    <w:rsid w:val="00626076"/>
    <w:rsid w:val="006272DD"/>
    <w:rsid w:val="00646247"/>
    <w:rsid w:val="006475BD"/>
    <w:rsid w:val="0065626D"/>
    <w:rsid w:val="0066027D"/>
    <w:rsid w:val="00660734"/>
    <w:rsid w:val="00661AF0"/>
    <w:rsid w:val="00666326"/>
    <w:rsid w:val="006754AD"/>
    <w:rsid w:val="006821A4"/>
    <w:rsid w:val="00684311"/>
    <w:rsid w:val="0069007A"/>
    <w:rsid w:val="00690F98"/>
    <w:rsid w:val="00692A81"/>
    <w:rsid w:val="006A1A4F"/>
    <w:rsid w:val="006A2ED0"/>
    <w:rsid w:val="006A797E"/>
    <w:rsid w:val="006C1E34"/>
    <w:rsid w:val="006C38A6"/>
    <w:rsid w:val="006C4665"/>
    <w:rsid w:val="006C46CB"/>
    <w:rsid w:val="006C6A6D"/>
    <w:rsid w:val="006D232D"/>
    <w:rsid w:val="006D475D"/>
    <w:rsid w:val="006E63B5"/>
    <w:rsid w:val="006E6F6D"/>
    <w:rsid w:val="006F291F"/>
    <w:rsid w:val="006F4D84"/>
    <w:rsid w:val="006F73AB"/>
    <w:rsid w:val="00706BF1"/>
    <w:rsid w:val="00710B78"/>
    <w:rsid w:val="007167C0"/>
    <w:rsid w:val="00720FC5"/>
    <w:rsid w:val="00721C59"/>
    <w:rsid w:val="00723953"/>
    <w:rsid w:val="00723D83"/>
    <w:rsid w:val="007248DF"/>
    <w:rsid w:val="007257D6"/>
    <w:rsid w:val="007315C0"/>
    <w:rsid w:val="00731E1D"/>
    <w:rsid w:val="00734153"/>
    <w:rsid w:val="00734BDC"/>
    <w:rsid w:val="007359BA"/>
    <w:rsid w:val="00741216"/>
    <w:rsid w:val="007441C0"/>
    <w:rsid w:val="007501DC"/>
    <w:rsid w:val="0075714B"/>
    <w:rsid w:val="00760E28"/>
    <w:rsid w:val="0076172D"/>
    <w:rsid w:val="0076443A"/>
    <w:rsid w:val="007648E6"/>
    <w:rsid w:val="00773B7C"/>
    <w:rsid w:val="00782E00"/>
    <w:rsid w:val="00783D6B"/>
    <w:rsid w:val="00785D8C"/>
    <w:rsid w:val="00790C1D"/>
    <w:rsid w:val="00793606"/>
    <w:rsid w:val="00795A15"/>
    <w:rsid w:val="007972C3"/>
    <w:rsid w:val="00797FD8"/>
    <w:rsid w:val="007A1456"/>
    <w:rsid w:val="007A37E2"/>
    <w:rsid w:val="007A7075"/>
    <w:rsid w:val="007B44A2"/>
    <w:rsid w:val="007B55D4"/>
    <w:rsid w:val="007B64EC"/>
    <w:rsid w:val="007B6FE6"/>
    <w:rsid w:val="007B78F2"/>
    <w:rsid w:val="007C01AD"/>
    <w:rsid w:val="007C143F"/>
    <w:rsid w:val="007C2076"/>
    <w:rsid w:val="007C6282"/>
    <w:rsid w:val="007D20DB"/>
    <w:rsid w:val="007D260B"/>
    <w:rsid w:val="007D2999"/>
    <w:rsid w:val="007D3598"/>
    <w:rsid w:val="007E376C"/>
    <w:rsid w:val="007E58BF"/>
    <w:rsid w:val="007E798C"/>
    <w:rsid w:val="007F04B4"/>
    <w:rsid w:val="007F297B"/>
    <w:rsid w:val="007F4DAE"/>
    <w:rsid w:val="007F66C9"/>
    <w:rsid w:val="00803E02"/>
    <w:rsid w:val="0080468B"/>
    <w:rsid w:val="00810306"/>
    <w:rsid w:val="00812BE8"/>
    <w:rsid w:val="00813A26"/>
    <w:rsid w:val="0082697D"/>
    <w:rsid w:val="00834D20"/>
    <w:rsid w:val="0083621B"/>
    <w:rsid w:val="00837CCB"/>
    <w:rsid w:val="00845520"/>
    <w:rsid w:val="00846A5E"/>
    <w:rsid w:val="00853114"/>
    <w:rsid w:val="008577DA"/>
    <w:rsid w:val="00861B8B"/>
    <w:rsid w:val="00862457"/>
    <w:rsid w:val="00866B8E"/>
    <w:rsid w:val="00866BA5"/>
    <w:rsid w:val="00877410"/>
    <w:rsid w:val="00881ED6"/>
    <w:rsid w:val="00883480"/>
    <w:rsid w:val="00884028"/>
    <w:rsid w:val="00885BC0"/>
    <w:rsid w:val="00886175"/>
    <w:rsid w:val="008863C5"/>
    <w:rsid w:val="008876F9"/>
    <w:rsid w:val="0089349B"/>
    <w:rsid w:val="00894785"/>
    <w:rsid w:val="008964FB"/>
    <w:rsid w:val="00897970"/>
    <w:rsid w:val="008A379B"/>
    <w:rsid w:val="008A4AF5"/>
    <w:rsid w:val="008B06AB"/>
    <w:rsid w:val="008B10DB"/>
    <w:rsid w:val="008B6E88"/>
    <w:rsid w:val="008C2B01"/>
    <w:rsid w:val="008C5396"/>
    <w:rsid w:val="008D1EE0"/>
    <w:rsid w:val="008D6B38"/>
    <w:rsid w:val="008D738F"/>
    <w:rsid w:val="008E2B94"/>
    <w:rsid w:val="008E36B9"/>
    <w:rsid w:val="008E3B10"/>
    <w:rsid w:val="008F0B1B"/>
    <w:rsid w:val="008F105B"/>
    <w:rsid w:val="008F4B78"/>
    <w:rsid w:val="008F5929"/>
    <w:rsid w:val="008F5D91"/>
    <w:rsid w:val="008F6C02"/>
    <w:rsid w:val="00900383"/>
    <w:rsid w:val="00900410"/>
    <w:rsid w:val="00900B27"/>
    <w:rsid w:val="00903CA2"/>
    <w:rsid w:val="00906D00"/>
    <w:rsid w:val="009102C4"/>
    <w:rsid w:val="00910E41"/>
    <w:rsid w:val="00916069"/>
    <w:rsid w:val="009169BD"/>
    <w:rsid w:val="00920B61"/>
    <w:rsid w:val="00920C41"/>
    <w:rsid w:val="00921108"/>
    <w:rsid w:val="00921F2E"/>
    <w:rsid w:val="009230C3"/>
    <w:rsid w:val="00923518"/>
    <w:rsid w:val="009240C0"/>
    <w:rsid w:val="0092646C"/>
    <w:rsid w:val="00930B4F"/>
    <w:rsid w:val="00932664"/>
    <w:rsid w:val="00933A48"/>
    <w:rsid w:val="00934D0C"/>
    <w:rsid w:val="0094207F"/>
    <w:rsid w:val="00946426"/>
    <w:rsid w:val="00953FE9"/>
    <w:rsid w:val="009547EE"/>
    <w:rsid w:val="00957FC3"/>
    <w:rsid w:val="009602F2"/>
    <w:rsid w:val="00960372"/>
    <w:rsid w:val="00960DA2"/>
    <w:rsid w:val="0096119C"/>
    <w:rsid w:val="0096166C"/>
    <w:rsid w:val="009667C8"/>
    <w:rsid w:val="009674D1"/>
    <w:rsid w:val="00974F33"/>
    <w:rsid w:val="00976434"/>
    <w:rsid w:val="00976E50"/>
    <w:rsid w:val="0098654A"/>
    <w:rsid w:val="00991A0B"/>
    <w:rsid w:val="00992E90"/>
    <w:rsid w:val="0099390F"/>
    <w:rsid w:val="009965E8"/>
    <w:rsid w:val="00997328"/>
    <w:rsid w:val="009A1671"/>
    <w:rsid w:val="009A2831"/>
    <w:rsid w:val="009A2AD9"/>
    <w:rsid w:val="009A393B"/>
    <w:rsid w:val="009A5633"/>
    <w:rsid w:val="009A786C"/>
    <w:rsid w:val="009A7D66"/>
    <w:rsid w:val="009C0BFF"/>
    <w:rsid w:val="009C1443"/>
    <w:rsid w:val="009C5FCA"/>
    <w:rsid w:val="009D0EB2"/>
    <w:rsid w:val="009D6603"/>
    <w:rsid w:val="009D772A"/>
    <w:rsid w:val="009D78B3"/>
    <w:rsid w:val="009E0C44"/>
    <w:rsid w:val="009E4B3F"/>
    <w:rsid w:val="009E4DE6"/>
    <w:rsid w:val="009E61EA"/>
    <w:rsid w:val="009F289B"/>
    <w:rsid w:val="009F5B58"/>
    <w:rsid w:val="009F5CDD"/>
    <w:rsid w:val="009F6583"/>
    <w:rsid w:val="009F7C87"/>
    <w:rsid w:val="00A05C35"/>
    <w:rsid w:val="00A1051C"/>
    <w:rsid w:val="00A115DC"/>
    <w:rsid w:val="00A11633"/>
    <w:rsid w:val="00A16237"/>
    <w:rsid w:val="00A1683F"/>
    <w:rsid w:val="00A2000A"/>
    <w:rsid w:val="00A24466"/>
    <w:rsid w:val="00A2734F"/>
    <w:rsid w:val="00A2791A"/>
    <w:rsid w:val="00A30238"/>
    <w:rsid w:val="00A30D15"/>
    <w:rsid w:val="00A32B53"/>
    <w:rsid w:val="00A3430D"/>
    <w:rsid w:val="00A410C9"/>
    <w:rsid w:val="00A523B8"/>
    <w:rsid w:val="00A5325C"/>
    <w:rsid w:val="00A55875"/>
    <w:rsid w:val="00A602AF"/>
    <w:rsid w:val="00A6404B"/>
    <w:rsid w:val="00A744CB"/>
    <w:rsid w:val="00A8015D"/>
    <w:rsid w:val="00A82231"/>
    <w:rsid w:val="00A83807"/>
    <w:rsid w:val="00A8500C"/>
    <w:rsid w:val="00A85D40"/>
    <w:rsid w:val="00A91382"/>
    <w:rsid w:val="00A92047"/>
    <w:rsid w:val="00A925DA"/>
    <w:rsid w:val="00A93DAC"/>
    <w:rsid w:val="00A945CB"/>
    <w:rsid w:val="00A96A4E"/>
    <w:rsid w:val="00AA22FA"/>
    <w:rsid w:val="00AB0975"/>
    <w:rsid w:val="00AB3352"/>
    <w:rsid w:val="00AB6399"/>
    <w:rsid w:val="00AB784B"/>
    <w:rsid w:val="00AC05BC"/>
    <w:rsid w:val="00AC06DC"/>
    <w:rsid w:val="00AC479F"/>
    <w:rsid w:val="00AC4C26"/>
    <w:rsid w:val="00AC6030"/>
    <w:rsid w:val="00AC689A"/>
    <w:rsid w:val="00AD5F44"/>
    <w:rsid w:val="00AE04CE"/>
    <w:rsid w:val="00AE2080"/>
    <w:rsid w:val="00AE2C12"/>
    <w:rsid w:val="00AE3116"/>
    <w:rsid w:val="00AE6720"/>
    <w:rsid w:val="00AF3A76"/>
    <w:rsid w:val="00AF56C8"/>
    <w:rsid w:val="00AF6B28"/>
    <w:rsid w:val="00B05E3B"/>
    <w:rsid w:val="00B06082"/>
    <w:rsid w:val="00B0618B"/>
    <w:rsid w:val="00B2055A"/>
    <w:rsid w:val="00B4454B"/>
    <w:rsid w:val="00B519B5"/>
    <w:rsid w:val="00B574AA"/>
    <w:rsid w:val="00B61AAB"/>
    <w:rsid w:val="00B660E1"/>
    <w:rsid w:val="00B66EB5"/>
    <w:rsid w:val="00B74182"/>
    <w:rsid w:val="00B827FE"/>
    <w:rsid w:val="00B84968"/>
    <w:rsid w:val="00B90338"/>
    <w:rsid w:val="00BA006C"/>
    <w:rsid w:val="00BA0DB7"/>
    <w:rsid w:val="00BA32DE"/>
    <w:rsid w:val="00BA336C"/>
    <w:rsid w:val="00BA7D81"/>
    <w:rsid w:val="00BB208F"/>
    <w:rsid w:val="00BC5A7F"/>
    <w:rsid w:val="00BE01AE"/>
    <w:rsid w:val="00BE133D"/>
    <w:rsid w:val="00BE2A38"/>
    <w:rsid w:val="00BE4823"/>
    <w:rsid w:val="00BF0762"/>
    <w:rsid w:val="00BF13A7"/>
    <w:rsid w:val="00BF1762"/>
    <w:rsid w:val="00BF1F94"/>
    <w:rsid w:val="00BF38E4"/>
    <w:rsid w:val="00BF6209"/>
    <w:rsid w:val="00C03935"/>
    <w:rsid w:val="00C041CB"/>
    <w:rsid w:val="00C05895"/>
    <w:rsid w:val="00C10F5A"/>
    <w:rsid w:val="00C120EC"/>
    <w:rsid w:val="00C139F8"/>
    <w:rsid w:val="00C14AE7"/>
    <w:rsid w:val="00C14D7E"/>
    <w:rsid w:val="00C202D7"/>
    <w:rsid w:val="00C2449B"/>
    <w:rsid w:val="00C27B65"/>
    <w:rsid w:val="00C32055"/>
    <w:rsid w:val="00C40DCD"/>
    <w:rsid w:val="00C43273"/>
    <w:rsid w:val="00C448E2"/>
    <w:rsid w:val="00C45B02"/>
    <w:rsid w:val="00C463B4"/>
    <w:rsid w:val="00C5039A"/>
    <w:rsid w:val="00C50FEF"/>
    <w:rsid w:val="00C513A1"/>
    <w:rsid w:val="00C51731"/>
    <w:rsid w:val="00C51B40"/>
    <w:rsid w:val="00C5654B"/>
    <w:rsid w:val="00C6244D"/>
    <w:rsid w:val="00C76B07"/>
    <w:rsid w:val="00C8162A"/>
    <w:rsid w:val="00C86CEA"/>
    <w:rsid w:val="00C916E2"/>
    <w:rsid w:val="00C929DC"/>
    <w:rsid w:val="00C93159"/>
    <w:rsid w:val="00C9363C"/>
    <w:rsid w:val="00C945FA"/>
    <w:rsid w:val="00CA0DD4"/>
    <w:rsid w:val="00CA4387"/>
    <w:rsid w:val="00CA4A9D"/>
    <w:rsid w:val="00CA5FFD"/>
    <w:rsid w:val="00CB40C6"/>
    <w:rsid w:val="00CB708E"/>
    <w:rsid w:val="00CC65CD"/>
    <w:rsid w:val="00CC6AED"/>
    <w:rsid w:val="00CC70E8"/>
    <w:rsid w:val="00CD3E7D"/>
    <w:rsid w:val="00CD558F"/>
    <w:rsid w:val="00CE2253"/>
    <w:rsid w:val="00CE6B55"/>
    <w:rsid w:val="00CE78E5"/>
    <w:rsid w:val="00CF283D"/>
    <w:rsid w:val="00CF2F22"/>
    <w:rsid w:val="00CF3BD6"/>
    <w:rsid w:val="00CF5282"/>
    <w:rsid w:val="00D000B7"/>
    <w:rsid w:val="00D02419"/>
    <w:rsid w:val="00D02582"/>
    <w:rsid w:val="00D02837"/>
    <w:rsid w:val="00D07B46"/>
    <w:rsid w:val="00D1470B"/>
    <w:rsid w:val="00D15D78"/>
    <w:rsid w:val="00D17F97"/>
    <w:rsid w:val="00D2076B"/>
    <w:rsid w:val="00D21615"/>
    <w:rsid w:val="00D30222"/>
    <w:rsid w:val="00D32B71"/>
    <w:rsid w:val="00D34171"/>
    <w:rsid w:val="00D344E9"/>
    <w:rsid w:val="00D34EB7"/>
    <w:rsid w:val="00D358E6"/>
    <w:rsid w:val="00D40DAA"/>
    <w:rsid w:val="00D40FDC"/>
    <w:rsid w:val="00D41352"/>
    <w:rsid w:val="00D45018"/>
    <w:rsid w:val="00D50AE7"/>
    <w:rsid w:val="00D63646"/>
    <w:rsid w:val="00D65F68"/>
    <w:rsid w:val="00D667C9"/>
    <w:rsid w:val="00D67918"/>
    <w:rsid w:val="00D74EF0"/>
    <w:rsid w:val="00D77821"/>
    <w:rsid w:val="00D80679"/>
    <w:rsid w:val="00D81880"/>
    <w:rsid w:val="00D955C1"/>
    <w:rsid w:val="00D969EB"/>
    <w:rsid w:val="00DA35BC"/>
    <w:rsid w:val="00DA5876"/>
    <w:rsid w:val="00DA679D"/>
    <w:rsid w:val="00DB13A3"/>
    <w:rsid w:val="00DB420F"/>
    <w:rsid w:val="00DB5A89"/>
    <w:rsid w:val="00DC04E4"/>
    <w:rsid w:val="00DC71FF"/>
    <w:rsid w:val="00DD07B6"/>
    <w:rsid w:val="00DD487A"/>
    <w:rsid w:val="00DD51DA"/>
    <w:rsid w:val="00DD751E"/>
    <w:rsid w:val="00DD7733"/>
    <w:rsid w:val="00DD785E"/>
    <w:rsid w:val="00DE0A17"/>
    <w:rsid w:val="00DE18E3"/>
    <w:rsid w:val="00DE1AE2"/>
    <w:rsid w:val="00DE2B73"/>
    <w:rsid w:val="00DF70E6"/>
    <w:rsid w:val="00E00B63"/>
    <w:rsid w:val="00E036A4"/>
    <w:rsid w:val="00E03F33"/>
    <w:rsid w:val="00E0458C"/>
    <w:rsid w:val="00E1338D"/>
    <w:rsid w:val="00E1481E"/>
    <w:rsid w:val="00E26EFC"/>
    <w:rsid w:val="00E31808"/>
    <w:rsid w:val="00E32331"/>
    <w:rsid w:val="00E33232"/>
    <w:rsid w:val="00E34B39"/>
    <w:rsid w:val="00E373C8"/>
    <w:rsid w:val="00E42F04"/>
    <w:rsid w:val="00E44B08"/>
    <w:rsid w:val="00E45862"/>
    <w:rsid w:val="00E45B78"/>
    <w:rsid w:val="00E523CB"/>
    <w:rsid w:val="00E57196"/>
    <w:rsid w:val="00E61583"/>
    <w:rsid w:val="00E65BEA"/>
    <w:rsid w:val="00E703B2"/>
    <w:rsid w:val="00E80B47"/>
    <w:rsid w:val="00E814A4"/>
    <w:rsid w:val="00E8201B"/>
    <w:rsid w:val="00E837A3"/>
    <w:rsid w:val="00E83CEC"/>
    <w:rsid w:val="00E84528"/>
    <w:rsid w:val="00E848F6"/>
    <w:rsid w:val="00E946BC"/>
    <w:rsid w:val="00E96F30"/>
    <w:rsid w:val="00EA0C75"/>
    <w:rsid w:val="00EA2734"/>
    <w:rsid w:val="00EA293B"/>
    <w:rsid w:val="00EA2EA4"/>
    <w:rsid w:val="00EB1D13"/>
    <w:rsid w:val="00EB3E16"/>
    <w:rsid w:val="00EB7272"/>
    <w:rsid w:val="00EC1FC3"/>
    <w:rsid w:val="00EC3918"/>
    <w:rsid w:val="00EC3E14"/>
    <w:rsid w:val="00EC5284"/>
    <w:rsid w:val="00EC5605"/>
    <w:rsid w:val="00ED77F7"/>
    <w:rsid w:val="00ED79C9"/>
    <w:rsid w:val="00EF008A"/>
    <w:rsid w:val="00EF065D"/>
    <w:rsid w:val="00EF1556"/>
    <w:rsid w:val="00EF15BD"/>
    <w:rsid w:val="00EF1F0E"/>
    <w:rsid w:val="00EF4C29"/>
    <w:rsid w:val="00F0188F"/>
    <w:rsid w:val="00F01C54"/>
    <w:rsid w:val="00F02991"/>
    <w:rsid w:val="00F074F2"/>
    <w:rsid w:val="00F07E47"/>
    <w:rsid w:val="00F107FB"/>
    <w:rsid w:val="00F10BE0"/>
    <w:rsid w:val="00F10CA9"/>
    <w:rsid w:val="00F22CB6"/>
    <w:rsid w:val="00F24DB4"/>
    <w:rsid w:val="00F273BA"/>
    <w:rsid w:val="00F31C1B"/>
    <w:rsid w:val="00F40A2D"/>
    <w:rsid w:val="00F411BE"/>
    <w:rsid w:val="00F46104"/>
    <w:rsid w:val="00F5458C"/>
    <w:rsid w:val="00F5697C"/>
    <w:rsid w:val="00F56DB0"/>
    <w:rsid w:val="00F56FE0"/>
    <w:rsid w:val="00F61641"/>
    <w:rsid w:val="00F61E1A"/>
    <w:rsid w:val="00F72DAF"/>
    <w:rsid w:val="00F8194E"/>
    <w:rsid w:val="00F81967"/>
    <w:rsid w:val="00F82030"/>
    <w:rsid w:val="00F84D95"/>
    <w:rsid w:val="00F855BF"/>
    <w:rsid w:val="00F92476"/>
    <w:rsid w:val="00F93E33"/>
    <w:rsid w:val="00F949DA"/>
    <w:rsid w:val="00F94D2A"/>
    <w:rsid w:val="00F97616"/>
    <w:rsid w:val="00FA2945"/>
    <w:rsid w:val="00FA3B7A"/>
    <w:rsid w:val="00FA57BE"/>
    <w:rsid w:val="00FA5808"/>
    <w:rsid w:val="00FB0F60"/>
    <w:rsid w:val="00FB1505"/>
    <w:rsid w:val="00FB1613"/>
    <w:rsid w:val="00FB7775"/>
    <w:rsid w:val="00FC1077"/>
    <w:rsid w:val="00FC45D9"/>
    <w:rsid w:val="00FC4658"/>
    <w:rsid w:val="00FC57D1"/>
    <w:rsid w:val="00FD1E8C"/>
    <w:rsid w:val="00FD5D9C"/>
    <w:rsid w:val="00FD6C3E"/>
    <w:rsid w:val="00FD73D5"/>
    <w:rsid w:val="00FD7651"/>
    <w:rsid w:val="00FD7772"/>
    <w:rsid w:val="00FE6DA8"/>
    <w:rsid w:val="00FE7A70"/>
    <w:rsid w:val="00FF02F3"/>
    <w:rsid w:val="00FF0588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8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38E3"/>
  </w:style>
  <w:style w:type="paragraph" w:styleId="Footer">
    <w:name w:val="footer"/>
    <w:basedOn w:val="Normal"/>
    <w:link w:val="FooterChar"/>
    <w:uiPriority w:val="99"/>
    <w:unhideWhenUsed/>
    <w:rsid w:val="004538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38E3"/>
  </w:style>
  <w:style w:type="paragraph" w:styleId="PlainText">
    <w:name w:val="Plain Text"/>
    <w:basedOn w:val="Normal"/>
    <w:link w:val="PlainTextChar"/>
    <w:uiPriority w:val="99"/>
    <w:unhideWhenUsed/>
    <w:rsid w:val="004538E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38E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538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0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0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A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4A25"/>
    <w:rPr>
      <w:color w:val="800080" w:themeColor="followedHyperlink"/>
      <w:u w:val="single"/>
    </w:rPr>
  </w:style>
  <w:style w:type="paragraph" w:customStyle="1" w:styleId="Default">
    <w:name w:val="Default"/>
    <w:rsid w:val="004178B7"/>
    <w:pPr>
      <w:autoSpaceDE w:val="0"/>
      <w:autoSpaceDN w:val="0"/>
      <w:adjustRightInd w:val="0"/>
      <w:spacing w:after="0"/>
      <w:jc w:val="left"/>
    </w:pPr>
    <w:rPr>
      <w:rFonts w:ascii="Adobe Caslon Pro" w:hAnsi="Adobe Caslon Pro" w:cs="Adobe Caslon Pro"/>
      <w:color w:val="000000"/>
      <w:sz w:val="24"/>
      <w:szCs w:val="24"/>
    </w:rPr>
  </w:style>
  <w:style w:type="character" w:customStyle="1" w:styleId="A1">
    <w:name w:val="A1"/>
    <w:uiPriority w:val="99"/>
    <w:rsid w:val="004178B7"/>
    <w:rPr>
      <w:rFonts w:cs="Adobe Caslon Pro"/>
      <w:color w:val="221E1F"/>
      <w:sz w:val="16"/>
      <w:szCs w:val="16"/>
    </w:rPr>
  </w:style>
  <w:style w:type="character" w:styleId="Strong">
    <w:name w:val="Strong"/>
    <w:basedOn w:val="DefaultParagraphFont"/>
    <w:uiPriority w:val="22"/>
    <w:qFormat/>
    <w:rsid w:val="00884028"/>
    <w:rPr>
      <w:b/>
      <w:bCs/>
    </w:rPr>
  </w:style>
  <w:style w:type="paragraph" w:styleId="NormalWeb">
    <w:name w:val="Normal (Web)"/>
    <w:basedOn w:val="Normal"/>
    <w:uiPriority w:val="99"/>
    <w:unhideWhenUsed/>
    <w:rsid w:val="00BF1F94"/>
    <w:pPr>
      <w:spacing w:after="125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991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6494">
                  <w:marLeft w:val="0"/>
                  <w:marRight w:val="0"/>
                  <w:marTop w:val="0"/>
                  <w:marBottom w:val="0"/>
                  <w:divBdr>
                    <w:top w:val="single" w:sz="24" w:space="0" w:color="3E8A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067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0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8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9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20734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binson@robinsonfirrn.com" TargetMode="External"/><Relationship Id="rId13" Type="http://schemas.openxmlformats.org/officeDocument/2006/relationships/hyperlink" Target="mailto:Jmarshall@baileyglasser.com" TargetMode="External"/><Relationship Id="rId18" Type="http://schemas.openxmlformats.org/officeDocument/2006/relationships/hyperlink" Target="http://www.llrlaw.com" TargetMode="External"/><Relationship Id="rId26" Type="http://schemas.openxmlformats.org/officeDocument/2006/relationships/hyperlink" Target="mailto:oochoa@susmangodfrey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arwingerstein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ordTransmissionSettlement.com" TargetMode="External"/><Relationship Id="rId17" Type="http://schemas.openxmlformats.org/officeDocument/2006/relationships/hyperlink" Target="mailto:fuli@zarzaur.com" TargetMode="External"/><Relationship Id="rId25" Type="http://schemas.openxmlformats.org/officeDocument/2006/relationships/hyperlink" Target="mailto:clangham@susmangodfrey.co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hrista.Wittenberg@wilaw.com" TargetMode="External"/><Relationship Id="rId20" Type="http://schemas.openxmlformats.org/officeDocument/2006/relationships/hyperlink" Target="http://WWW.FLUECUREDTOBACCOSETTLEMENT.COM" TargetMode="External"/><Relationship Id="rId29" Type="http://schemas.openxmlformats.org/officeDocument/2006/relationships/hyperlink" Target="mailto:dpastor@pastorlawoffi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lersettlements.com" TargetMode="External"/><Relationship Id="rId24" Type="http://schemas.openxmlformats.org/officeDocument/2006/relationships/hyperlink" Target="mailto:toxford@susmangodfrey.co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oug.Dehler@wilaw.com" TargetMode="External"/><Relationship Id="rId23" Type="http://schemas.openxmlformats.org/officeDocument/2006/relationships/hyperlink" Target="mailto:jwesterman@jswlegal.com" TargetMode="External"/><Relationship Id="rId28" Type="http://schemas.openxmlformats.org/officeDocument/2006/relationships/hyperlink" Target="http://www.BarclaysLiborSettlement.com" TargetMode="External"/><Relationship Id="rId10" Type="http://schemas.openxmlformats.org/officeDocument/2006/relationships/hyperlink" Target="http://www.cohenmilstein.com/wheaton-settlement" TargetMode="External"/><Relationship Id="rId19" Type="http://schemas.openxmlformats.org/officeDocument/2006/relationships/hyperlink" Target="mailto:scleary@llrlaw.com" TargetMode="External"/><Relationship Id="rId31" Type="http://schemas.openxmlformats.org/officeDocument/2006/relationships/hyperlink" Target="mailto:mkruthers@dowlingaar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polishuk@robinsonfirrn.com" TargetMode="External"/><Relationship Id="rId14" Type="http://schemas.openxmlformats.org/officeDocument/2006/relationships/hyperlink" Target="mailto:pprieto@podhurst.com" TargetMode="External"/><Relationship Id="rId22" Type="http://schemas.openxmlformats.org/officeDocument/2006/relationships/hyperlink" Target="http://www.hbsslaw.com" TargetMode="External"/><Relationship Id="rId27" Type="http://schemas.openxmlformats.org/officeDocument/2006/relationships/hyperlink" Target="http://www.pateltransunionclassaction.com" TargetMode="External"/><Relationship Id="rId30" Type="http://schemas.openxmlformats.org/officeDocument/2006/relationships/hyperlink" Target="mailto:Fischbachdfischbach@dowlingaaron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996E-F768-483F-851A-7FFB3378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ServUS</cp:lastModifiedBy>
  <cp:revision>7</cp:revision>
  <cp:lastPrinted>2017-12-12T19:00:00Z</cp:lastPrinted>
  <dcterms:created xsi:type="dcterms:W3CDTF">2017-11-21T22:31:00Z</dcterms:created>
  <dcterms:modified xsi:type="dcterms:W3CDTF">2017-12-13T16:28:00Z</dcterms:modified>
</cp:coreProperties>
</file>